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24" w:rsidRPr="00197679" w:rsidRDefault="00485524" w:rsidP="00197679">
      <w:pPr>
        <w:jc w:val="center"/>
        <w:rPr>
          <w:rFonts w:ascii="Arial" w:hAnsi="Arial" w:cs="Arial"/>
          <w:color w:val="000000"/>
          <w:sz w:val="24"/>
          <w:szCs w:val="24"/>
          <w:lang w:eastAsia="ru-RU"/>
        </w:rPr>
      </w:pPr>
      <w:r w:rsidRPr="00197679">
        <w:rPr>
          <w:rFonts w:ascii="Arial" w:hAnsi="Arial" w:cs="Arial"/>
          <w:b/>
          <w:bCs/>
          <w:color w:val="000000"/>
          <w:sz w:val="24"/>
          <w:szCs w:val="24"/>
          <w:lang w:eastAsia="ru-RU"/>
        </w:rPr>
        <w:t>ТР ТС 018/2011 О безопасности колесных транспортных средств</w:t>
      </w:r>
    </w:p>
    <w:p w:rsidR="00485524" w:rsidRPr="00197679" w:rsidRDefault="00485524" w:rsidP="00197679">
      <w:pPr>
        <w:jc w:val="center"/>
        <w:rPr>
          <w:rFonts w:ascii="Arial" w:hAnsi="Arial" w:cs="Arial"/>
          <w:color w:val="000000"/>
          <w:sz w:val="24"/>
          <w:szCs w:val="24"/>
          <w:lang w:eastAsia="ru-RU"/>
        </w:rPr>
      </w:pPr>
      <w:r w:rsidRPr="00197679">
        <w:rPr>
          <w:rFonts w:ascii="Arial" w:hAnsi="Arial" w:cs="Arial"/>
          <w:b/>
          <w:bCs/>
          <w:color w:val="000000"/>
          <w:sz w:val="24"/>
          <w:szCs w:val="24"/>
          <w:lang w:eastAsia="ru-RU"/>
        </w:rPr>
        <w:t>(утв. Решением Комиссии Таможенного союза от от 9 декабря 2011 г. N 877)</w:t>
      </w:r>
    </w:p>
    <w:p w:rsidR="00485524" w:rsidRPr="00197679" w:rsidRDefault="00485524" w:rsidP="00197679">
      <w:pPr>
        <w:jc w:val="center"/>
        <w:rPr>
          <w:rFonts w:ascii="Arial" w:hAnsi="Arial" w:cs="Arial"/>
          <w:color w:val="000000"/>
          <w:sz w:val="24"/>
          <w:szCs w:val="24"/>
          <w:lang w:eastAsia="ru-RU"/>
        </w:rPr>
      </w:pPr>
      <w:r w:rsidRPr="00197679">
        <w:rPr>
          <w:rFonts w:ascii="Arial" w:hAnsi="Arial" w:cs="Arial"/>
          <w:b/>
          <w:bCs/>
          <w:color w:val="000000"/>
          <w:sz w:val="24"/>
          <w:szCs w:val="24"/>
          <w:lang w:eastAsia="ru-RU"/>
        </w:rPr>
        <w:t> </w:t>
      </w:r>
    </w:p>
    <w:p w:rsidR="00485524" w:rsidRPr="00197679" w:rsidRDefault="00485524" w:rsidP="00197679">
      <w:pPr>
        <w:ind w:firstLine="1400"/>
        <w:jc w:val="both"/>
        <w:rPr>
          <w:rFonts w:ascii="Arial" w:hAnsi="Arial" w:cs="Arial"/>
          <w:color w:val="000000"/>
          <w:sz w:val="24"/>
          <w:szCs w:val="24"/>
          <w:lang w:eastAsia="ru-RU"/>
        </w:rPr>
      </w:pPr>
      <w:hyperlink r:id="rId4" w:anchor="РЕШЕНИЕ" w:history="1">
        <w:r w:rsidRPr="00197679">
          <w:rPr>
            <w:rFonts w:ascii="Arial" w:hAnsi="Arial" w:cs="Arial"/>
            <w:color w:val="000000"/>
            <w:sz w:val="24"/>
            <w:szCs w:val="24"/>
            <w:lang w:eastAsia="ru-RU"/>
          </w:rPr>
          <w:t>Решение Комиссии Таможенного союза от 09.12.2011 N 877 "О принятии технического регламента Таможенного союза "О безопасности колесных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5" w:anchor="Утвержден" w:history="1">
        <w:r w:rsidRPr="00197679">
          <w:rPr>
            <w:rFonts w:ascii="Arial" w:hAnsi="Arial" w:cs="Arial"/>
            <w:color w:val="000000"/>
            <w:sz w:val="24"/>
            <w:szCs w:val="24"/>
            <w:lang w:eastAsia="ru-RU"/>
          </w:rPr>
          <w:t>ТР ТС 018/2011. Технический регламент Таможенного союза. О безопасности колесных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6" w:anchor="Предисловие" w:history="1">
        <w:r w:rsidRPr="00197679">
          <w:rPr>
            <w:rFonts w:ascii="Arial" w:hAnsi="Arial" w:cs="Arial"/>
            <w:color w:val="000000"/>
            <w:sz w:val="24"/>
            <w:szCs w:val="24"/>
            <w:lang w:eastAsia="ru-RU"/>
          </w:rPr>
          <w:t>Предисловие</w:t>
        </w:r>
      </w:hyperlink>
    </w:p>
    <w:p w:rsidR="00485524" w:rsidRPr="00197679" w:rsidRDefault="00485524" w:rsidP="00197679">
      <w:pPr>
        <w:ind w:firstLine="1400"/>
        <w:jc w:val="both"/>
        <w:rPr>
          <w:rFonts w:ascii="Arial" w:hAnsi="Arial" w:cs="Arial"/>
          <w:color w:val="000000"/>
          <w:sz w:val="24"/>
          <w:szCs w:val="24"/>
          <w:lang w:eastAsia="ru-RU"/>
        </w:rPr>
      </w:pPr>
      <w:hyperlink r:id="rId7" w:anchor="I. Общие положения" w:history="1">
        <w:r w:rsidRPr="00197679">
          <w:rPr>
            <w:rFonts w:ascii="Arial" w:hAnsi="Arial" w:cs="Arial"/>
            <w:color w:val="000000"/>
            <w:sz w:val="24"/>
            <w:szCs w:val="24"/>
            <w:lang w:eastAsia="ru-RU"/>
          </w:rPr>
          <w:t>I. Общие положения</w:t>
        </w:r>
      </w:hyperlink>
    </w:p>
    <w:p w:rsidR="00485524" w:rsidRPr="00197679" w:rsidRDefault="00485524" w:rsidP="00197679">
      <w:pPr>
        <w:ind w:firstLine="1400"/>
        <w:jc w:val="both"/>
        <w:rPr>
          <w:rFonts w:ascii="Arial" w:hAnsi="Arial" w:cs="Arial"/>
          <w:color w:val="000000"/>
          <w:sz w:val="24"/>
          <w:szCs w:val="24"/>
          <w:lang w:eastAsia="ru-RU"/>
        </w:rPr>
      </w:pPr>
      <w:hyperlink r:id="rId8" w:anchor="II. Определения" w:history="1">
        <w:r w:rsidRPr="00197679">
          <w:rPr>
            <w:rFonts w:ascii="Arial" w:hAnsi="Arial" w:cs="Arial"/>
            <w:color w:val="000000"/>
            <w:sz w:val="24"/>
            <w:szCs w:val="24"/>
            <w:lang w:eastAsia="ru-RU"/>
          </w:rPr>
          <w:t>II. Определения</w:t>
        </w:r>
      </w:hyperlink>
    </w:p>
    <w:p w:rsidR="00485524" w:rsidRPr="00197679" w:rsidRDefault="00485524" w:rsidP="00197679">
      <w:pPr>
        <w:ind w:firstLine="1400"/>
        <w:jc w:val="both"/>
        <w:rPr>
          <w:rFonts w:ascii="Arial" w:hAnsi="Arial" w:cs="Arial"/>
          <w:color w:val="000000"/>
          <w:sz w:val="24"/>
          <w:szCs w:val="24"/>
          <w:lang w:eastAsia="ru-RU"/>
        </w:rPr>
      </w:pPr>
      <w:hyperlink r:id="rId9" w:anchor="III. Правила обращения на рынке или ввода в эксплуатацию" w:history="1">
        <w:r w:rsidRPr="00197679">
          <w:rPr>
            <w:rFonts w:ascii="Arial" w:hAnsi="Arial" w:cs="Arial"/>
            <w:color w:val="000000"/>
            <w:sz w:val="24"/>
            <w:szCs w:val="24"/>
            <w:lang w:eastAsia="ru-RU"/>
          </w:rPr>
          <w:t>III. Правила обращения на рынке или ввода в эксплуатацию</w:t>
        </w:r>
      </w:hyperlink>
    </w:p>
    <w:p w:rsidR="00485524" w:rsidRPr="00197679" w:rsidRDefault="00485524" w:rsidP="00197679">
      <w:pPr>
        <w:ind w:firstLine="1400"/>
        <w:jc w:val="both"/>
        <w:rPr>
          <w:rFonts w:ascii="Arial" w:hAnsi="Arial" w:cs="Arial"/>
          <w:color w:val="000000"/>
          <w:sz w:val="24"/>
          <w:szCs w:val="24"/>
          <w:lang w:eastAsia="ru-RU"/>
        </w:rPr>
      </w:pPr>
      <w:hyperlink r:id="rId10" w:anchor="IV. Требования безопасности" w:history="1">
        <w:r w:rsidRPr="00197679">
          <w:rPr>
            <w:rFonts w:ascii="Arial" w:hAnsi="Arial" w:cs="Arial"/>
            <w:color w:val="000000"/>
            <w:sz w:val="24"/>
            <w:szCs w:val="24"/>
            <w:lang w:eastAsia="ru-RU"/>
          </w:rPr>
          <w:t>IV. Требования безопасности</w:t>
        </w:r>
      </w:hyperlink>
    </w:p>
    <w:p w:rsidR="00485524" w:rsidRPr="00197679" w:rsidRDefault="00485524" w:rsidP="00197679">
      <w:pPr>
        <w:ind w:firstLine="1400"/>
        <w:jc w:val="both"/>
        <w:rPr>
          <w:rFonts w:ascii="Arial" w:hAnsi="Arial" w:cs="Arial"/>
          <w:color w:val="000000"/>
          <w:sz w:val="24"/>
          <w:szCs w:val="24"/>
          <w:lang w:eastAsia="ru-RU"/>
        </w:rPr>
      </w:pPr>
      <w:hyperlink r:id="rId11" w:anchor="V. Оценка соответствия" w:history="1">
        <w:r w:rsidRPr="00197679">
          <w:rPr>
            <w:rFonts w:ascii="Arial" w:hAnsi="Arial" w:cs="Arial"/>
            <w:color w:val="000000"/>
            <w:sz w:val="24"/>
            <w:szCs w:val="24"/>
            <w:lang w:eastAsia="ru-RU"/>
          </w:rPr>
          <w:t>V. Оценка соответствия</w:t>
        </w:r>
      </w:hyperlink>
    </w:p>
    <w:p w:rsidR="00485524" w:rsidRPr="00197679" w:rsidRDefault="00485524" w:rsidP="00197679">
      <w:pPr>
        <w:ind w:firstLine="1400"/>
        <w:jc w:val="both"/>
        <w:rPr>
          <w:rFonts w:ascii="Arial" w:hAnsi="Arial" w:cs="Arial"/>
          <w:color w:val="000000"/>
          <w:sz w:val="24"/>
          <w:szCs w:val="24"/>
          <w:lang w:eastAsia="ru-RU"/>
        </w:rPr>
      </w:pPr>
      <w:hyperlink r:id="rId12" w:anchor="VI. Маркировка единым знаком обращения продукции на рынке" w:history="1">
        <w:r w:rsidRPr="00197679">
          <w:rPr>
            <w:rFonts w:ascii="Arial" w:hAnsi="Arial" w:cs="Arial"/>
            <w:color w:val="000000"/>
            <w:sz w:val="24"/>
            <w:szCs w:val="24"/>
            <w:lang w:eastAsia="ru-RU"/>
          </w:rPr>
          <w:t>VI. Маркировка единым знаком обращения продукции на рынке</w:t>
        </w:r>
      </w:hyperlink>
    </w:p>
    <w:p w:rsidR="00485524" w:rsidRPr="00197679" w:rsidRDefault="00485524" w:rsidP="00197679">
      <w:pPr>
        <w:ind w:firstLine="1400"/>
        <w:jc w:val="both"/>
        <w:rPr>
          <w:rFonts w:ascii="Arial" w:hAnsi="Arial" w:cs="Arial"/>
          <w:color w:val="000000"/>
          <w:sz w:val="24"/>
          <w:szCs w:val="24"/>
          <w:lang w:eastAsia="ru-RU"/>
        </w:rPr>
      </w:pPr>
      <w:hyperlink r:id="rId13" w:anchor="VII. Защитительная оговорка" w:history="1">
        <w:r w:rsidRPr="00197679">
          <w:rPr>
            <w:rFonts w:ascii="Arial" w:hAnsi="Arial" w:cs="Arial"/>
            <w:color w:val="000000"/>
            <w:sz w:val="24"/>
            <w:szCs w:val="24"/>
            <w:lang w:eastAsia="ru-RU"/>
          </w:rPr>
          <w:t>VII. Защитительная оговорка</w:t>
        </w:r>
      </w:hyperlink>
    </w:p>
    <w:p w:rsidR="00485524" w:rsidRPr="00197679" w:rsidRDefault="00485524" w:rsidP="00197679">
      <w:pPr>
        <w:ind w:firstLine="1400"/>
        <w:jc w:val="both"/>
        <w:rPr>
          <w:rFonts w:ascii="Arial" w:hAnsi="Arial" w:cs="Arial"/>
          <w:color w:val="000000"/>
          <w:sz w:val="24"/>
          <w:szCs w:val="24"/>
          <w:lang w:eastAsia="ru-RU"/>
        </w:rPr>
      </w:pPr>
      <w:hyperlink r:id="rId14" w:anchor="VIII. Заключительные положения" w:history="1">
        <w:r w:rsidRPr="00197679">
          <w:rPr>
            <w:rFonts w:ascii="Arial" w:hAnsi="Arial" w:cs="Arial"/>
            <w:color w:val="000000"/>
            <w:sz w:val="24"/>
            <w:szCs w:val="24"/>
            <w:lang w:eastAsia="ru-RU"/>
          </w:rPr>
          <w:t>VIII. Заключительные положения</w:t>
        </w:r>
      </w:hyperlink>
    </w:p>
    <w:p w:rsidR="00485524" w:rsidRPr="00197679" w:rsidRDefault="00485524" w:rsidP="00197679">
      <w:pPr>
        <w:ind w:firstLine="1400"/>
        <w:jc w:val="both"/>
        <w:rPr>
          <w:rFonts w:ascii="Arial" w:hAnsi="Arial" w:cs="Arial"/>
          <w:color w:val="000000"/>
          <w:sz w:val="24"/>
          <w:szCs w:val="24"/>
          <w:lang w:eastAsia="ru-RU"/>
        </w:rPr>
      </w:pPr>
      <w:r w:rsidRPr="00197679">
        <w:rPr>
          <w:rFonts w:ascii="Arial" w:hAnsi="Arial" w:cs="Arial"/>
          <w:color w:val="000000"/>
          <w:sz w:val="24"/>
          <w:szCs w:val="24"/>
          <w:lang w:eastAsia="ru-RU"/>
        </w:rPr>
        <w:t>Приложение N 1. Перечень объектов технического регулирования, на которые распространяется действие технического регламента Таможенного союза "О безопасности колесных транспортных средств"</w:t>
      </w:r>
    </w:p>
    <w:p w:rsidR="00485524" w:rsidRPr="00197679" w:rsidRDefault="00485524" w:rsidP="00197679">
      <w:pPr>
        <w:ind w:firstLine="1400"/>
        <w:jc w:val="both"/>
        <w:rPr>
          <w:rFonts w:ascii="Arial" w:hAnsi="Arial" w:cs="Arial"/>
          <w:color w:val="000000"/>
          <w:sz w:val="24"/>
          <w:szCs w:val="24"/>
          <w:lang w:eastAsia="ru-RU"/>
        </w:rPr>
      </w:pPr>
      <w:hyperlink r:id="rId15" w:tooltip="ТР ТС 018/2011 О безопасности колесных транспортных средств Приложения 1-7" w:history="1">
        <w:r w:rsidRPr="00197679">
          <w:rPr>
            <w:rFonts w:ascii="Arial" w:hAnsi="Arial" w:cs="Arial"/>
            <w:color w:val="000000"/>
            <w:sz w:val="24"/>
            <w:szCs w:val="24"/>
            <w:lang w:eastAsia="ru-RU"/>
          </w:rPr>
          <w:t>Приложение N 2. Перечень требований, установленных в отношении типов выпускаемых в обращение транспортных средств (шасси)</w:t>
        </w:r>
      </w:hyperlink>
    </w:p>
    <w:p w:rsidR="00485524" w:rsidRPr="00197679" w:rsidRDefault="00485524" w:rsidP="00197679">
      <w:pPr>
        <w:ind w:firstLine="1400"/>
        <w:jc w:val="both"/>
        <w:rPr>
          <w:rFonts w:ascii="Arial" w:hAnsi="Arial" w:cs="Arial"/>
          <w:color w:val="000000"/>
          <w:sz w:val="24"/>
          <w:szCs w:val="24"/>
          <w:lang w:eastAsia="ru-RU"/>
        </w:rPr>
      </w:pPr>
      <w:hyperlink r:id="rId16" w:tooltip="ТР ТС 018/2011 О безопасности колесных транспортных средств Приложения 1-7" w:history="1">
        <w:r w:rsidRPr="00197679">
          <w:rPr>
            <w:rFonts w:ascii="Arial" w:hAnsi="Arial" w:cs="Arial"/>
            <w:color w:val="000000"/>
            <w:sz w:val="24"/>
            <w:szCs w:val="24"/>
            <w:lang w:eastAsia="ru-RU"/>
          </w:rPr>
          <w:t>Приложение N 3. Технические требования в отношении отдельных элементов и свойств объектов технического регулирования для оценки соответствия типов транспортных средств (шасси)</w:t>
        </w:r>
      </w:hyperlink>
    </w:p>
    <w:p w:rsidR="00485524" w:rsidRPr="00197679" w:rsidRDefault="00485524" w:rsidP="00197679">
      <w:pPr>
        <w:ind w:firstLine="1400"/>
        <w:jc w:val="both"/>
        <w:rPr>
          <w:rFonts w:ascii="Arial" w:hAnsi="Arial" w:cs="Arial"/>
          <w:color w:val="000000"/>
          <w:sz w:val="24"/>
          <w:szCs w:val="24"/>
          <w:lang w:eastAsia="ru-RU"/>
        </w:rPr>
      </w:pPr>
      <w:hyperlink r:id="rId17" w:tooltip="ТР ТС 018/2011 О безопасности колесных транспортных средств Приложения 1-7" w:history="1">
        <w:r w:rsidRPr="00197679">
          <w:rPr>
            <w:rFonts w:ascii="Arial" w:hAnsi="Arial" w:cs="Arial"/>
            <w:color w:val="000000"/>
            <w:sz w:val="24"/>
            <w:szCs w:val="24"/>
            <w:lang w:eastAsia="ru-RU"/>
          </w:rPr>
          <w:t>Приложение N 4. Требования к выпускаемым в обращение единичным транспортным средствам</w:t>
        </w:r>
      </w:hyperlink>
    </w:p>
    <w:p w:rsidR="00485524" w:rsidRPr="00197679" w:rsidRDefault="00485524" w:rsidP="00197679">
      <w:pPr>
        <w:ind w:firstLine="1400"/>
        <w:jc w:val="both"/>
        <w:rPr>
          <w:rFonts w:ascii="Arial" w:hAnsi="Arial" w:cs="Arial"/>
          <w:color w:val="000000"/>
          <w:sz w:val="24"/>
          <w:szCs w:val="24"/>
          <w:lang w:eastAsia="ru-RU"/>
        </w:rPr>
      </w:pPr>
      <w:hyperlink r:id="rId18" w:tooltip="ТР ТС 018/2011 О безопасности колесных транспортных средств Приложения 1-7" w:history="1">
        <w:r w:rsidRPr="00197679">
          <w:rPr>
            <w:rFonts w:ascii="Arial" w:hAnsi="Arial" w:cs="Arial"/>
            <w:color w:val="000000"/>
            <w:sz w:val="24"/>
            <w:szCs w:val="24"/>
            <w:lang w:eastAsia="ru-RU"/>
          </w:rPr>
          <w:t>Приложение N 5. Габаритные и весовые ограничения, действующие в отношении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19" w:tooltip="ТР ТС 018/2011 О безопасности колесных транспортных средств Приложения 1-7" w:history="1">
        <w:r w:rsidRPr="00197679">
          <w:rPr>
            <w:rFonts w:ascii="Arial" w:hAnsi="Arial" w:cs="Arial"/>
            <w:color w:val="000000"/>
            <w:sz w:val="24"/>
            <w:szCs w:val="24"/>
            <w:lang w:eastAsia="ru-RU"/>
          </w:rPr>
          <w:t>Приложение N 6. Дополнительные требования к специализированным и специальным транспортным средствам</w:t>
        </w:r>
      </w:hyperlink>
    </w:p>
    <w:p w:rsidR="00485524" w:rsidRPr="00197679" w:rsidRDefault="00485524" w:rsidP="00197679">
      <w:pPr>
        <w:ind w:firstLine="1400"/>
        <w:jc w:val="both"/>
        <w:rPr>
          <w:rFonts w:ascii="Arial" w:hAnsi="Arial" w:cs="Arial"/>
          <w:color w:val="000000"/>
          <w:sz w:val="24"/>
          <w:szCs w:val="24"/>
          <w:lang w:eastAsia="ru-RU"/>
        </w:rPr>
      </w:pPr>
      <w:hyperlink r:id="rId20" w:tooltip="ТР ТС 018/2011 О безопасности колесных транспортных средств Приложения 1-7" w:history="1">
        <w:r w:rsidRPr="00197679">
          <w:rPr>
            <w:rFonts w:ascii="Arial" w:hAnsi="Arial" w:cs="Arial"/>
            <w:color w:val="000000"/>
            <w:sz w:val="24"/>
            <w:szCs w:val="24"/>
            <w:lang w:eastAsia="ru-RU"/>
          </w:rPr>
          <w:t>Приложение N 7. Требования к идентификации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21" w:tooltip="ТР ТС 018/2011 О безопасности колесных транспортных средств Приложения 8-13" w:history="1">
        <w:r w:rsidRPr="00197679">
          <w:rPr>
            <w:rFonts w:ascii="Arial" w:hAnsi="Arial" w:cs="Arial"/>
            <w:color w:val="000000"/>
            <w:sz w:val="24"/>
            <w:szCs w:val="24"/>
            <w:lang w:eastAsia="ru-RU"/>
          </w:rPr>
          <w:t>Приложение N 8. Требования к транспортным средствам, находящимся в эксплуатации</w:t>
        </w:r>
      </w:hyperlink>
    </w:p>
    <w:p w:rsidR="00485524" w:rsidRPr="00197679" w:rsidRDefault="00485524" w:rsidP="00197679">
      <w:pPr>
        <w:ind w:firstLine="1400"/>
        <w:jc w:val="both"/>
        <w:rPr>
          <w:rFonts w:ascii="Arial" w:hAnsi="Arial" w:cs="Arial"/>
          <w:color w:val="000000"/>
          <w:sz w:val="24"/>
          <w:szCs w:val="24"/>
          <w:lang w:eastAsia="ru-RU"/>
        </w:rPr>
      </w:pPr>
      <w:hyperlink r:id="rId22" w:tooltip="ТР ТС 018/2011 О безопасности колесных транспортных средств Приложения 8-13" w:history="1">
        <w:r w:rsidRPr="00197679">
          <w:rPr>
            <w:rFonts w:ascii="Arial" w:hAnsi="Arial" w:cs="Arial"/>
            <w:color w:val="000000"/>
            <w:sz w:val="24"/>
            <w:szCs w:val="24"/>
            <w:lang w:eastAsia="ru-RU"/>
          </w:rPr>
          <w:t>Приложение N 9. Требования в отношении отдельных изменений, внесенных в конструкцию транспортного средства</w:t>
        </w:r>
      </w:hyperlink>
    </w:p>
    <w:p w:rsidR="00485524" w:rsidRPr="00197679" w:rsidRDefault="00485524" w:rsidP="00197679">
      <w:pPr>
        <w:ind w:firstLine="1400"/>
        <w:jc w:val="both"/>
        <w:rPr>
          <w:rFonts w:ascii="Arial" w:hAnsi="Arial" w:cs="Arial"/>
          <w:color w:val="000000"/>
          <w:sz w:val="24"/>
          <w:szCs w:val="24"/>
          <w:lang w:eastAsia="ru-RU"/>
        </w:rPr>
      </w:pPr>
      <w:hyperlink r:id="rId23" w:tooltip="ТР ТС 018/2011 О безопасности колесных транспортных средств Приложения 8-13" w:history="1">
        <w:r w:rsidRPr="00197679">
          <w:rPr>
            <w:rFonts w:ascii="Arial" w:hAnsi="Arial" w:cs="Arial"/>
            <w:color w:val="000000"/>
            <w:sz w:val="24"/>
            <w:szCs w:val="24"/>
            <w:lang w:eastAsia="ru-RU"/>
          </w:rPr>
          <w:t>Приложение N 10. Перечень требований к типам компонентов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24" w:tooltip="ТР ТС 018/2011 О безопасности колесных транспортных средств Приложения 8-13" w:history="1">
        <w:r w:rsidRPr="00197679">
          <w:rPr>
            <w:rFonts w:ascii="Arial" w:hAnsi="Arial" w:cs="Arial"/>
            <w:color w:val="000000"/>
            <w:sz w:val="24"/>
            <w:szCs w:val="24"/>
            <w:lang w:eastAsia="ru-RU"/>
          </w:rPr>
          <w:t>Приложение N 11. Подразделение транспортных средств на типы и модификации</w:t>
        </w:r>
      </w:hyperlink>
    </w:p>
    <w:p w:rsidR="00485524" w:rsidRPr="00197679" w:rsidRDefault="00485524" w:rsidP="00197679">
      <w:pPr>
        <w:ind w:firstLine="1400"/>
        <w:jc w:val="both"/>
        <w:rPr>
          <w:rFonts w:ascii="Arial" w:hAnsi="Arial" w:cs="Arial"/>
          <w:color w:val="000000"/>
          <w:sz w:val="24"/>
          <w:szCs w:val="24"/>
          <w:lang w:eastAsia="ru-RU"/>
        </w:rPr>
      </w:pPr>
      <w:hyperlink r:id="rId25" w:tooltip="ТР ТС 018/2011 О безопасности колесных транспортных средств Приложения 8-13" w:history="1">
        <w:r w:rsidRPr="00197679">
          <w:rPr>
            <w:rFonts w:ascii="Arial" w:hAnsi="Arial" w:cs="Arial"/>
            <w:color w:val="000000"/>
            <w:sz w:val="24"/>
            <w:szCs w:val="24"/>
            <w:lang w:eastAsia="ru-RU"/>
          </w:rPr>
          <w:t>Приложение N 12. Перечень документов, представляемых заявителем в целях оценки соответствия типов транспортных средств (шасси), единичных транспортных средств и компонентов транспортных средств требованиям технического регламента "О безопасности колесных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26" w:tooltip="ТР ТС 018/2011 О безопасности колесных транспортных средств Приложения 8-13" w:history="1">
        <w:r w:rsidRPr="00197679">
          <w:rPr>
            <w:rFonts w:ascii="Arial" w:hAnsi="Arial" w:cs="Arial"/>
            <w:color w:val="000000"/>
            <w:sz w:val="24"/>
            <w:szCs w:val="24"/>
            <w:lang w:eastAsia="ru-RU"/>
          </w:rPr>
          <w:t>Приложение N 13. Перечень основных вопросов, изучаемых при анализе состояния производства, правила и порядок проверки условий производства</w:t>
        </w:r>
      </w:hyperlink>
    </w:p>
    <w:p w:rsidR="00485524" w:rsidRPr="00197679" w:rsidRDefault="00485524" w:rsidP="00197679">
      <w:pPr>
        <w:ind w:firstLine="1400"/>
        <w:jc w:val="both"/>
        <w:rPr>
          <w:rFonts w:ascii="Arial" w:hAnsi="Arial" w:cs="Arial"/>
          <w:color w:val="000000"/>
          <w:sz w:val="24"/>
          <w:szCs w:val="24"/>
          <w:lang w:eastAsia="ru-RU"/>
        </w:rPr>
      </w:pPr>
      <w:hyperlink r:id="rId27"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Приложение N 14. Одобрение типа транспортного средства (Форма)</w:t>
        </w:r>
      </w:hyperlink>
    </w:p>
    <w:p w:rsidR="00485524" w:rsidRPr="00197679" w:rsidRDefault="00485524" w:rsidP="00197679">
      <w:pPr>
        <w:ind w:firstLine="1400"/>
        <w:jc w:val="both"/>
        <w:rPr>
          <w:rFonts w:ascii="Arial" w:hAnsi="Arial" w:cs="Arial"/>
          <w:color w:val="000000"/>
          <w:sz w:val="24"/>
          <w:szCs w:val="24"/>
          <w:lang w:eastAsia="ru-RU"/>
        </w:rPr>
      </w:pPr>
      <w:hyperlink r:id="rId28"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Приложение N 15. Одобрение типа шасси (Форма)</w:t>
        </w:r>
      </w:hyperlink>
    </w:p>
    <w:p w:rsidR="00485524" w:rsidRPr="00197679" w:rsidRDefault="00485524" w:rsidP="00197679">
      <w:pPr>
        <w:ind w:firstLine="1400"/>
        <w:jc w:val="both"/>
        <w:rPr>
          <w:rFonts w:ascii="Arial" w:hAnsi="Arial" w:cs="Arial"/>
          <w:color w:val="000000"/>
          <w:sz w:val="24"/>
          <w:szCs w:val="24"/>
          <w:lang w:eastAsia="ru-RU"/>
        </w:rPr>
      </w:pPr>
      <w:hyperlink r:id="rId29"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Приложение N 16. Уведомление об отмене документа, удостоверяющего соответствие техническому регламенту таможенного Союза "О безопасности колесных транспортных средств" (Форма)</w:t>
        </w:r>
      </w:hyperlink>
    </w:p>
    <w:p w:rsidR="00485524" w:rsidRPr="00197679" w:rsidRDefault="00485524" w:rsidP="00197679">
      <w:pPr>
        <w:ind w:firstLine="1400"/>
        <w:jc w:val="both"/>
        <w:rPr>
          <w:rFonts w:ascii="Arial" w:hAnsi="Arial" w:cs="Arial"/>
          <w:color w:val="000000"/>
          <w:sz w:val="24"/>
          <w:szCs w:val="24"/>
          <w:lang w:eastAsia="ru-RU"/>
        </w:rPr>
      </w:pPr>
      <w:hyperlink r:id="rId30"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Приложение N 17. Свидетельство о безопасности конструкции транспортного средства (Форма)</w:t>
        </w:r>
      </w:hyperlink>
    </w:p>
    <w:p w:rsidR="00485524" w:rsidRPr="00197679" w:rsidRDefault="00485524" w:rsidP="00197679">
      <w:pPr>
        <w:ind w:firstLine="1400"/>
        <w:jc w:val="both"/>
        <w:rPr>
          <w:rFonts w:ascii="Arial" w:hAnsi="Arial" w:cs="Arial"/>
          <w:color w:val="000000"/>
          <w:sz w:val="24"/>
          <w:szCs w:val="24"/>
          <w:lang w:eastAsia="ru-RU"/>
        </w:rPr>
      </w:pPr>
      <w:r w:rsidRPr="00197679">
        <w:rPr>
          <w:rFonts w:ascii="Arial" w:hAnsi="Arial" w:cs="Arial"/>
          <w:color w:val="000000"/>
          <w:sz w:val="24"/>
          <w:szCs w:val="24"/>
          <w:lang w:eastAsia="ru-RU"/>
        </w:rPr>
        <w:t>Приложение N 18. Свидетельство о соответствии транспортного средства с внесенными в его конструкцию изменениями требованиям безопасности (Форма)</w:t>
      </w:r>
    </w:p>
    <w:p w:rsidR="00485524" w:rsidRPr="00197679" w:rsidRDefault="00485524" w:rsidP="00197679">
      <w:pPr>
        <w:ind w:firstLine="1400"/>
        <w:jc w:val="both"/>
        <w:rPr>
          <w:rFonts w:ascii="Arial" w:hAnsi="Arial" w:cs="Arial"/>
          <w:color w:val="000000"/>
          <w:sz w:val="24"/>
          <w:szCs w:val="24"/>
          <w:lang w:eastAsia="ru-RU"/>
        </w:rPr>
      </w:pPr>
      <w:hyperlink r:id="rId31"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Приложение N 19. Формы и схемы подтверждения соответствия требованиям технического регламента "О безопасности колесных транспортных средств" и рекомендации по их выбору</w:t>
        </w:r>
      </w:hyperlink>
    </w:p>
    <w:p w:rsidR="00485524" w:rsidRPr="00197679" w:rsidRDefault="00485524" w:rsidP="00197679">
      <w:pPr>
        <w:ind w:firstLine="1400"/>
        <w:jc w:val="both"/>
        <w:rPr>
          <w:rFonts w:ascii="Arial" w:hAnsi="Arial" w:cs="Arial"/>
          <w:color w:val="000000"/>
          <w:sz w:val="24"/>
          <w:szCs w:val="24"/>
          <w:lang w:eastAsia="ru-RU"/>
        </w:rPr>
      </w:pPr>
      <w:hyperlink r:id="rId32"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hyperlink>
    </w:p>
    <w:p w:rsidR="00485524" w:rsidRPr="00197679" w:rsidRDefault="00485524" w:rsidP="00197679">
      <w:pPr>
        <w:ind w:firstLine="1400"/>
        <w:jc w:val="both"/>
        <w:rPr>
          <w:rFonts w:ascii="Arial" w:hAnsi="Arial" w:cs="Arial"/>
          <w:color w:val="000000"/>
          <w:sz w:val="24"/>
          <w:szCs w:val="24"/>
          <w:lang w:eastAsia="ru-RU"/>
        </w:rPr>
      </w:pPr>
      <w:hyperlink r:id="rId33" w:tooltip="ТР ТС 018/2011 О безопасности колесных транспортных средств Приложения 14-19" w:history="1">
        <w:r w:rsidRPr="00197679">
          <w:rPr>
            <w:rFonts w:ascii="Arial" w:hAnsi="Arial" w:cs="Arial"/>
            <w:color w:val="000000"/>
            <w:sz w:val="24"/>
            <w:szCs w:val="24"/>
            <w:lang w:eastAsia="ru-RU"/>
          </w:rP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hyperlink>
    </w:p>
    <w:p w:rsidR="00485524" w:rsidRPr="00197679" w:rsidRDefault="00485524" w:rsidP="00197679">
      <w:pPr>
        <w:ind w:left="1400"/>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ЕВРАЗИЙСКОЕ ЭКОНОМИЧЕСКОЕ СООБЩЕСТВО</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КОМИССИЯ ТАМОЖЕННОГО СОЮЗА</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bookmarkStart w:id="0" w:name="РЕШЕНИЕ"/>
      <w:r w:rsidRPr="00197679">
        <w:rPr>
          <w:rFonts w:ascii="Arial" w:hAnsi="Arial" w:cs="Arial"/>
          <w:b/>
          <w:bCs/>
          <w:color w:val="002060"/>
          <w:sz w:val="24"/>
          <w:szCs w:val="24"/>
          <w:lang w:eastAsia="ru-RU"/>
        </w:rPr>
        <w:t>РЕШЕНИЕ</w:t>
      </w:r>
      <w:bookmarkEnd w:id="0"/>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от 9 декабря 2011 г. N 877</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О ПРИНЯТИИ ТЕХНИЧЕСКОГО РЕГЛАМЕНТА ТАМОЖЕННОГО СОЮЗА</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"О БЕЗОПАСНОСТИ КОЛЕСНЫХ ТРАНСПОРТНЫХ СРЕДСТВ"</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Принять технический регламент Таможенного союза "О безопасности колесных транспортных средств" (ТР ТС 018/2011) (прилагается).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Утвердить: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(ТР ТС 018/2011) (прилагается).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(ТР ТС 018/2011) и осуществления оценки (подтверждения) соответствия продукции (прилагается).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Установить: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3.1. Технический регламент Таможенного союза "О безопасности колесных транспортных средств" (далее - Технический регламент) вступает в силу с 1 января 2015 года;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июля 2016 года, за исключением партий транспортных средств и компонентов, срок действия которых ограничивается количественной квотой.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Также данные документы могут использоваться в качестве доказательственных материалов в целях проверки выполнения требований настоящего технического регламента, в том числе для распространения действия указанных документов на территорию всех государств - членов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распространении указанных в абзаце первом настоящего пункта документов в порядке, установленном настоящим техническим регламентом, применяются требования, действовавшие до вступления в силу настоящего технического регламента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3.3. 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Решением Комиссии от 20 сентября 2010 года N 386.</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Маркировка такой продукции единым знаком обращения продукции на рынке государств - членов Таможенного союза не допускается;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Российской Стороне: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5.1. Не реже одного раза в три года подготавливать предложения по внесению изменений в Технический регламент для его актуализации, связанной с 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5.2. Не реже одного раза в год обеспечивать актуализацию Перечней стандартов, указанных в пункте 2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5.3.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5.4. В срок до 31 декабря 2012 года разработать и представить в Комиссию для утверждения Правила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регламенту,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 и формы бланков указанных документов.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5.5. В трехмесячный срок со дня вступления в силу настоящего Решения разработать проект изменений в Технический регламент в целях установления требований к санитарному транспорту и представить его в Секретариат Комиссии в установленном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Сторонам: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Члены Комиссии Таможенного союза:</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rPr>
          <w:rFonts w:ascii="Arial" w:hAnsi="Arial" w:cs="Arial"/>
          <w:sz w:val="24"/>
          <w:szCs w:val="24"/>
          <w:lang w:eastAsia="ru-RU"/>
        </w:rPr>
      </w:pPr>
      <w:r w:rsidRPr="00197679">
        <w:rPr>
          <w:rFonts w:ascii="Courier New" w:hAnsi="Courier New" w:cs="Courier New"/>
          <w:sz w:val="24"/>
          <w:szCs w:val="24"/>
          <w:lang w:eastAsia="ru-RU"/>
        </w:rPr>
        <w:t>    От Республики              От Республики              От Российской</w:t>
      </w:r>
    </w:p>
    <w:p w:rsidR="00485524" w:rsidRPr="00197679" w:rsidRDefault="00485524" w:rsidP="00197679">
      <w:pPr>
        <w:rPr>
          <w:rFonts w:ascii="Arial" w:hAnsi="Arial" w:cs="Arial"/>
          <w:sz w:val="24"/>
          <w:szCs w:val="24"/>
          <w:lang w:eastAsia="ru-RU"/>
        </w:rPr>
      </w:pPr>
      <w:r w:rsidRPr="00197679">
        <w:rPr>
          <w:rFonts w:ascii="Courier New" w:hAnsi="Courier New" w:cs="Courier New"/>
          <w:sz w:val="24"/>
          <w:szCs w:val="24"/>
          <w:lang w:eastAsia="ru-RU"/>
        </w:rPr>
        <w:t>       Беларусь                  Казахстан                  Федерации</w:t>
      </w:r>
    </w:p>
    <w:p w:rsidR="00485524" w:rsidRPr="00197679" w:rsidRDefault="00485524" w:rsidP="00197679">
      <w:pPr>
        <w:rPr>
          <w:rFonts w:ascii="Arial" w:hAnsi="Arial" w:cs="Arial"/>
          <w:sz w:val="24"/>
          <w:szCs w:val="24"/>
          <w:lang w:eastAsia="ru-RU"/>
        </w:rPr>
      </w:pPr>
      <w:r w:rsidRPr="00197679">
        <w:rPr>
          <w:rFonts w:ascii="Courier New" w:hAnsi="Courier New" w:cs="Courier New"/>
          <w:sz w:val="24"/>
          <w:szCs w:val="24"/>
          <w:lang w:eastAsia="ru-RU"/>
        </w:rPr>
        <w:t>      (Подпись)                  (Подпись)                  (Подпись)</w:t>
      </w:r>
    </w:p>
    <w:p w:rsidR="00485524" w:rsidRPr="00197679" w:rsidRDefault="00485524" w:rsidP="00197679">
      <w:pPr>
        <w:rPr>
          <w:rFonts w:ascii="Arial" w:hAnsi="Arial" w:cs="Arial"/>
          <w:sz w:val="24"/>
          <w:szCs w:val="24"/>
          <w:lang w:eastAsia="ru-RU"/>
        </w:rPr>
      </w:pPr>
      <w:r w:rsidRPr="00197679">
        <w:rPr>
          <w:rFonts w:ascii="Courier New" w:hAnsi="Courier New" w:cs="Courier New"/>
          <w:sz w:val="24"/>
          <w:szCs w:val="24"/>
          <w:lang w:eastAsia="ru-RU"/>
        </w:rPr>
        <w:t>       С.РУМАС                   У.ШУКЕЕВ                   И.ШУВАЛОВ</w:t>
      </w:r>
    </w:p>
    <w:p w:rsidR="00485524" w:rsidRPr="00197679" w:rsidRDefault="00485524" w:rsidP="00197679">
      <w:pPr>
        <w:rPr>
          <w:rFonts w:ascii="Arial" w:hAnsi="Arial" w:cs="Arial"/>
          <w:sz w:val="24"/>
          <w:szCs w:val="24"/>
          <w:lang w:eastAsia="ru-RU"/>
        </w:rPr>
      </w:pPr>
      <w:r w:rsidRPr="00197679">
        <w:rPr>
          <w:rFonts w:ascii="Courier New" w:hAnsi="Courier New" w:cs="Courier New"/>
          <w:sz w:val="24"/>
          <w:szCs w:val="24"/>
          <w:lang w:eastAsia="ru-RU"/>
        </w:rPr>
        <w:t> </w:t>
      </w:r>
    </w:p>
    <w:p w:rsidR="00485524" w:rsidRPr="00197679" w:rsidRDefault="00485524" w:rsidP="00197679">
      <w:pPr>
        <w:jc w:val="right"/>
        <w:rPr>
          <w:rFonts w:ascii="Arial" w:hAnsi="Arial" w:cs="Arial"/>
          <w:sz w:val="24"/>
          <w:szCs w:val="24"/>
          <w:lang w:eastAsia="ru-RU"/>
        </w:rPr>
      </w:pPr>
      <w:bookmarkStart w:id="1" w:name="Утвержден"/>
      <w:r w:rsidRPr="00197679">
        <w:rPr>
          <w:rFonts w:ascii="Arial" w:hAnsi="Arial" w:cs="Arial"/>
          <w:b/>
          <w:bCs/>
          <w:color w:val="002060"/>
          <w:sz w:val="24"/>
          <w:szCs w:val="24"/>
          <w:lang w:eastAsia="ru-RU"/>
        </w:rPr>
        <w:t>Утвержден</w:t>
      </w:r>
      <w:bookmarkEnd w:id="1"/>
    </w:p>
    <w:p w:rsidR="00485524" w:rsidRPr="00197679" w:rsidRDefault="00485524" w:rsidP="00197679">
      <w:pPr>
        <w:jc w:val="right"/>
        <w:rPr>
          <w:rFonts w:ascii="Arial" w:hAnsi="Arial" w:cs="Arial"/>
          <w:sz w:val="24"/>
          <w:szCs w:val="24"/>
          <w:lang w:eastAsia="ru-RU"/>
        </w:rPr>
      </w:pPr>
      <w:r w:rsidRPr="00197679">
        <w:rPr>
          <w:rFonts w:ascii="Arial" w:hAnsi="Arial" w:cs="Arial"/>
          <w:b/>
          <w:bCs/>
          <w:color w:val="002060"/>
          <w:sz w:val="24"/>
          <w:szCs w:val="24"/>
          <w:lang w:eastAsia="ru-RU"/>
        </w:rPr>
        <w:t>Решением Комиссии Таможенного союза</w:t>
      </w:r>
    </w:p>
    <w:p w:rsidR="00485524" w:rsidRPr="00197679" w:rsidRDefault="00485524" w:rsidP="00197679">
      <w:pPr>
        <w:jc w:val="right"/>
        <w:rPr>
          <w:rFonts w:ascii="Arial" w:hAnsi="Arial" w:cs="Arial"/>
          <w:sz w:val="24"/>
          <w:szCs w:val="24"/>
          <w:lang w:eastAsia="ru-RU"/>
        </w:rPr>
      </w:pPr>
      <w:r w:rsidRPr="00197679">
        <w:rPr>
          <w:rFonts w:ascii="Arial" w:hAnsi="Arial" w:cs="Arial"/>
          <w:b/>
          <w:bCs/>
          <w:color w:val="002060"/>
          <w:sz w:val="24"/>
          <w:szCs w:val="24"/>
          <w:lang w:eastAsia="ru-RU"/>
        </w:rPr>
        <w:t>от 9 декабря 2011 г. N 877</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ТЕХНИЧЕСКИЙ РЕГЛАМЕНТ ТАМОЖЕННОГО СОЮЗА</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ТР ТС 018/2011</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О БЕЗОПАСНОСТИ КОЛЕСНЫХ ТРАНСПОРТНЫХ СРЕДСТВ</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bookmarkStart w:id="2" w:name="Предисловие"/>
      <w:r w:rsidRPr="00197679">
        <w:rPr>
          <w:rFonts w:ascii="Arial" w:hAnsi="Arial" w:cs="Arial"/>
          <w:b/>
          <w:bCs/>
          <w:color w:val="002060"/>
          <w:sz w:val="24"/>
          <w:szCs w:val="24"/>
          <w:lang w:eastAsia="ru-RU"/>
        </w:rPr>
        <w:t>Предисловие</w:t>
      </w:r>
      <w:bookmarkEnd w:id="2"/>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Настоящий технический регламент разработан на основании Соглашения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настоящего технического регламента гармонизированы с требованиями Правил Европейской экономической комиссии Организации Объединенных Наций (Правила ЕЭК ООН), принимаемых на основании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 Глобальных технических правил, принимаемых на основании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принимаемых на основании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Приложения включают: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перечень объектов технического регулирования;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к типам выпускаемых в обращение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к выпускаемым в обращение единичным транспортным средствам;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габаритные и весовые ограничения, действующие в отношении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к маркировке;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к транспортным средствам, находящимся в эксплуатации;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в отношении отдельных изменений, внесенных в конструкцию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к типам компонентов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подразделение транспортных средств на типы и модификации;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перечень документов, представляемых заявителем в целях оценки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перечень основных вопросов, изучаемых при анализе состояния производства, правила и порядок проверки условий производства;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формы удостоверяющих соответствие документов;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формы и схемы подтверждения соответствия и рекомендации по их выбору.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bookmarkStart w:id="3" w:name="I._Общие_положения"/>
      <w:bookmarkEnd w:id="3"/>
      <w:r w:rsidRPr="00197679">
        <w:rPr>
          <w:rFonts w:ascii="Arial" w:hAnsi="Arial" w:cs="Arial"/>
          <w:b/>
          <w:bCs/>
          <w:color w:val="002060"/>
          <w:sz w:val="24"/>
          <w:szCs w:val="24"/>
          <w:lang w:eastAsia="ru-RU"/>
        </w:rPr>
        <w:t>I. Общие положения</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пунктом 16,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К объектам технического регулирования, на которые распространяется действие настоящего технического регламента, относятся: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колесные транспортные средства категорий L, M, N и О, предназначенные для эксплуатации на автомобильных дорогах общего пользования (далее - транспортные средства), а также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компоненты транспортных средств, оказывающие влияние на безопасность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Объекты технического регулирования устанавливаются согласно приложению N 1.</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Действие настоящего технического регламента не распространяется на транспортные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имеющие максимальную скорость, предусмотренную их конструкцией, не более 25 км/ч;</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предназначенные исключительно для участия в спортивных соревнованиях;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категорий L и M1, с даты выпуска которых прошло 30 и более лет, а также категорий M2, M3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 внедорожные большегрузные транспортные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подпунктах 1), 2), 4) и 5) пункта 3.</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Государства - члены Таможенного союза могут принять решение о нераспространении на своей территории его положений на транспортные средства, поставляемые по государственному оборонному заказу.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bookmarkStart w:id="4" w:name="II._Определения"/>
      <w:bookmarkEnd w:id="4"/>
      <w:r w:rsidRPr="00197679">
        <w:rPr>
          <w:rFonts w:ascii="Arial" w:hAnsi="Arial" w:cs="Arial"/>
          <w:b/>
          <w:bCs/>
          <w:color w:val="002060"/>
          <w:sz w:val="24"/>
          <w:szCs w:val="24"/>
          <w:lang w:eastAsia="ru-RU"/>
        </w:rPr>
        <w:t>II. Определения</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Для целей настоящего технического регламента используются понятия, установленные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автоматическое (аварийное) торможение</w:t>
      </w:r>
      <w:r w:rsidRPr="00197679">
        <w:rPr>
          <w:rFonts w:ascii="Arial" w:hAnsi="Arial" w:cs="Arial"/>
          <w:sz w:val="24"/>
          <w:szCs w:val="24"/>
          <w:lang w:eastAsia="ru-RU"/>
        </w:rPr>
        <w:t>"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автопоезд</w:t>
      </w:r>
      <w:r w:rsidRPr="00197679">
        <w:rPr>
          <w:rFonts w:ascii="Arial" w:hAnsi="Arial" w:cs="Arial"/>
          <w:sz w:val="24"/>
          <w:szCs w:val="24"/>
          <w:lang w:eastAsia="ru-RU"/>
        </w:rPr>
        <w:t>" - транспортное средство, образованное автомобилем и буксируемым им полуприцепом или прицепом (прицепами);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антиблокировочная тормозная система</w:t>
      </w:r>
      <w:r w:rsidRPr="00197679">
        <w:rPr>
          <w:rFonts w:ascii="Arial" w:hAnsi="Arial" w:cs="Arial"/>
          <w:sz w:val="24"/>
          <w:szCs w:val="24"/>
          <w:lang w:eastAsia="ru-RU"/>
        </w:rPr>
        <w:t>"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база транспортного средства</w:t>
      </w:r>
      <w:r w:rsidRPr="00197679">
        <w:rPr>
          <w:rFonts w:ascii="Arial" w:hAnsi="Arial" w:cs="Arial"/>
          <w:sz w:val="24"/>
          <w:szCs w:val="24"/>
          <w:lang w:eastAsia="ru-RU"/>
        </w:rPr>
        <w:t>"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базовое транспортное средство</w:t>
      </w:r>
      <w:r w:rsidRPr="00197679">
        <w:rPr>
          <w:rFonts w:ascii="Arial" w:hAnsi="Arial" w:cs="Arial"/>
          <w:sz w:val="24"/>
          <w:szCs w:val="24"/>
          <w:lang w:eastAsia="ru-RU"/>
        </w:rPr>
        <w:t>"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безопасность транспортного средства</w:t>
      </w:r>
      <w:r w:rsidRPr="00197679">
        <w:rPr>
          <w:rFonts w:ascii="Arial" w:hAnsi="Arial" w:cs="Arial"/>
          <w:sz w:val="24"/>
          <w:szCs w:val="24"/>
          <w:lang w:eastAsia="ru-RU"/>
        </w:rPr>
        <w:t>"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блокирование колеса</w:t>
      </w:r>
      <w:r w:rsidRPr="00197679">
        <w:rPr>
          <w:rFonts w:ascii="Arial" w:hAnsi="Arial" w:cs="Arial"/>
          <w:sz w:val="24"/>
          <w:szCs w:val="24"/>
          <w:lang w:eastAsia="ru-RU"/>
        </w:rPr>
        <w:t>" - прекращение качения колеса при его перемещении по опорной поверхности;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броневая защита</w:t>
      </w:r>
      <w:r w:rsidRPr="00197679">
        <w:rPr>
          <w:rFonts w:ascii="Arial" w:hAnsi="Arial" w:cs="Arial"/>
          <w:sz w:val="24"/>
          <w:szCs w:val="24"/>
          <w:lang w:eastAsia="ru-RU"/>
        </w:rPr>
        <w:t>" - совокупность броневых преград, предназначенных для полной или частичной нейтрализации воздействия средств поражения;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бронестойкость</w:t>
      </w:r>
      <w:r w:rsidRPr="00197679">
        <w:rPr>
          <w:rFonts w:ascii="Arial" w:hAnsi="Arial" w:cs="Arial"/>
          <w:sz w:val="24"/>
          <w:szCs w:val="24"/>
          <w:lang w:eastAsia="ru-RU"/>
        </w:rPr>
        <w:t>" - устойчивость броневой защиты к воздействию средств поражения заданного типа;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брызговик</w:t>
      </w:r>
      <w:r w:rsidRPr="00197679">
        <w:rPr>
          <w:rFonts w:ascii="Arial" w:hAnsi="Arial" w:cs="Arial"/>
          <w:sz w:val="24"/>
          <w:szCs w:val="24"/>
          <w:lang w:eastAsia="ru-RU"/>
        </w:rPr>
        <w:t>"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вентиляция</w:t>
      </w:r>
      <w:r w:rsidRPr="00197679">
        <w:rPr>
          <w:rFonts w:ascii="Arial" w:hAnsi="Arial" w:cs="Arial"/>
          <w:sz w:val="24"/>
          <w:szCs w:val="24"/>
          <w:lang w:eastAsia="ru-RU"/>
        </w:rPr>
        <w:t>" - обеспечение воздухообмена в кабине и пассажирском помещении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внедорожные большегрузные транспортные средства</w:t>
      </w:r>
      <w:r w:rsidRPr="00197679">
        <w:rPr>
          <w:rFonts w:ascii="Arial" w:hAnsi="Arial" w:cs="Arial"/>
          <w:sz w:val="24"/>
          <w:szCs w:val="24"/>
          <w:lang w:eastAsia="ru-RU"/>
        </w:rPr>
        <w:t>"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внесение изменений в конструкцию транспортного средства</w:t>
      </w:r>
      <w:r w:rsidRPr="00197679">
        <w:rPr>
          <w:rFonts w:ascii="Arial" w:hAnsi="Arial" w:cs="Arial"/>
          <w:sz w:val="24"/>
          <w:szCs w:val="24"/>
          <w:lang w:eastAsia="ru-RU"/>
        </w:rPr>
        <w:t>"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внешние световые приборы</w:t>
      </w:r>
      <w:r w:rsidRPr="00197679">
        <w:rPr>
          <w:rFonts w:ascii="Arial" w:hAnsi="Arial" w:cs="Arial"/>
          <w:sz w:val="24"/>
          <w:szCs w:val="24"/>
          <w:lang w:eastAsia="ru-RU"/>
        </w:rPr>
        <w:t>" - устройства для освещения дороги, государственного регистрационного знака, а также устройства световой сигнализации;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восстановление соответствия</w:t>
      </w:r>
      <w:r w:rsidRPr="00197679">
        <w:rPr>
          <w:rFonts w:ascii="Arial" w:hAnsi="Arial" w:cs="Arial"/>
          <w:sz w:val="24"/>
          <w:szCs w:val="24"/>
          <w:lang w:eastAsia="ru-RU"/>
        </w:rPr>
        <w:t>"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вредные вещества</w:t>
      </w:r>
      <w:r w:rsidRPr="00197679">
        <w:rPr>
          <w:rFonts w:ascii="Arial" w:hAnsi="Arial" w:cs="Arial"/>
          <w:sz w:val="24"/>
          <w:szCs w:val="24"/>
          <w:lang w:eastAsia="ru-RU"/>
        </w:rPr>
        <w:t>"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время срабатывания тормозной системы</w:t>
      </w:r>
      <w:r w:rsidRPr="00197679">
        <w:rPr>
          <w:rFonts w:ascii="Arial" w:hAnsi="Arial" w:cs="Arial"/>
          <w:sz w:val="24"/>
          <w:szCs w:val="24"/>
          <w:lang w:eastAsia="ru-RU"/>
        </w:rPr>
        <w:t>"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вспомогательная тормозная система</w:t>
      </w:r>
      <w:r w:rsidRPr="00197679">
        <w:rPr>
          <w:rFonts w:ascii="Arial" w:hAnsi="Arial" w:cs="Arial"/>
          <w:sz w:val="24"/>
          <w:szCs w:val="24"/>
          <w:lang w:eastAsia="ru-RU"/>
        </w:rPr>
        <w:t>"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выбросы</w:t>
      </w:r>
      <w:r w:rsidRPr="00197679">
        <w:rPr>
          <w:rFonts w:ascii="Arial" w:hAnsi="Arial" w:cs="Arial"/>
          <w:sz w:val="24"/>
          <w:szCs w:val="24"/>
          <w:lang w:eastAsia="ru-RU"/>
        </w:rPr>
        <w:t>"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(NOx), дисперсные частицы;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выдвижная ось</w:t>
      </w:r>
      <w:r w:rsidRPr="00197679">
        <w:rPr>
          <w:rFonts w:ascii="Arial" w:hAnsi="Arial" w:cs="Arial"/>
          <w:sz w:val="24"/>
          <w:szCs w:val="24"/>
          <w:lang w:eastAsia="ru-RU"/>
        </w:rPr>
        <w:t>"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выпуск в обращение</w:t>
      </w:r>
      <w:r w:rsidRPr="00197679">
        <w:rPr>
          <w:rFonts w:ascii="Arial" w:hAnsi="Arial" w:cs="Arial"/>
          <w:sz w:val="24"/>
          <w:szCs w:val="24"/>
          <w:lang w:eastAsia="ru-RU"/>
        </w:rPr>
        <w:t>"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гибридное транспортное средство</w:t>
      </w:r>
      <w:r w:rsidRPr="00197679">
        <w:rPr>
          <w:rFonts w:ascii="Arial" w:hAnsi="Arial" w:cs="Arial"/>
          <w:sz w:val="24"/>
          <w:szCs w:val="24"/>
          <w:lang w:eastAsia="ru-RU"/>
        </w:rPr>
        <w:t>"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грязезащитный кожух</w:t>
      </w:r>
      <w:r w:rsidRPr="00197679">
        <w:rPr>
          <w:rFonts w:ascii="Arial" w:hAnsi="Arial" w:cs="Arial"/>
          <w:sz w:val="24"/>
          <w:szCs w:val="24"/>
          <w:lang w:eastAsia="ru-RU"/>
        </w:rPr>
        <w:t>"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двигатель внутреннего сгорания</w:t>
      </w:r>
      <w:r w:rsidRPr="00197679">
        <w:rPr>
          <w:rFonts w:ascii="Arial" w:hAnsi="Arial" w:cs="Arial"/>
          <w:sz w:val="24"/>
          <w:szCs w:val="24"/>
          <w:lang w:eastAsia="ru-RU"/>
        </w:rPr>
        <w:t>" - тепловой двигатель, в котором химическая энергия топлива, сгорающего в рабочей полости, преобразуется в механическую работу;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двигатель с принудительным зажиганием</w:t>
      </w:r>
      <w:r w:rsidRPr="00197679">
        <w:rPr>
          <w:rFonts w:ascii="Arial" w:hAnsi="Arial" w:cs="Arial"/>
          <w:sz w:val="24"/>
          <w:szCs w:val="24"/>
          <w:lang w:eastAsia="ru-RU"/>
        </w:rPr>
        <w:t>" - двигатель внутреннего сгорания, в котором воспламенение рабочей смеси инициируется электрической искрой;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дефект</w:t>
      </w:r>
      <w:r w:rsidRPr="00197679">
        <w:rPr>
          <w:rFonts w:ascii="Arial" w:hAnsi="Arial" w:cs="Arial"/>
          <w:sz w:val="24"/>
          <w:szCs w:val="24"/>
          <w:lang w:eastAsia="ru-RU"/>
        </w:rPr>
        <w:t>" - каждое отдельное несоответствие продукции установленным требованиям;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дизель</w:t>
      </w:r>
      <w:r w:rsidRPr="00197679">
        <w:rPr>
          <w:rFonts w:ascii="Arial" w:hAnsi="Arial" w:cs="Arial"/>
          <w:sz w:val="24"/>
          <w:szCs w:val="24"/>
          <w:lang w:eastAsia="ru-RU"/>
        </w:rPr>
        <w:t>" - двигатель внутреннего сгорания, работающий по принципу воспламенения от сжатия;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дисперсные частицы</w:t>
      </w:r>
      <w:r w:rsidRPr="00197679">
        <w:rPr>
          <w:rFonts w:ascii="Arial" w:hAnsi="Arial" w:cs="Arial"/>
          <w:sz w:val="24"/>
          <w:szCs w:val="24"/>
          <w:lang w:eastAsia="ru-RU"/>
        </w:rPr>
        <w:t>"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документ, идентифицирующий транспортное средство (шасси)</w:t>
      </w:r>
      <w:r w:rsidRPr="00197679">
        <w:rPr>
          <w:rFonts w:ascii="Arial" w:hAnsi="Arial" w:cs="Arial"/>
          <w:sz w:val="24"/>
          <w:szCs w:val="24"/>
          <w:lang w:eastAsia="ru-RU"/>
        </w:rPr>
        <w:t>"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единичное транспортное средство</w:t>
      </w:r>
      <w:r w:rsidRPr="00197679">
        <w:rPr>
          <w:rFonts w:ascii="Arial" w:hAnsi="Arial" w:cs="Arial"/>
          <w:sz w:val="24"/>
          <w:szCs w:val="24"/>
          <w:lang w:eastAsia="ru-RU"/>
        </w:rPr>
        <w:t>" - транспортное средство:</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изготовленное в государствах - членах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условиях серийного производства, в конструкцию которого в индивидуальном порядке были внесены изменения до выпуска в обращение; или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вне серийного производства в индивидуальном порядке из сборочного комплекта; или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являющееся результатом индивидуального технического творчества; или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выпускаемое в обращение из числа ранее поставленных по государственному оборонному заказу;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ввозимое на единую таможенную территорию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физическим лицом для собственных нужд; или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запасная (аварийная) тормозная система</w:t>
      </w:r>
      <w:r w:rsidRPr="00197679">
        <w:rPr>
          <w:rFonts w:ascii="Arial" w:hAnsi="Arial" w:cs="Arial"/>
          <w:sz w:val="24"/>
          <w:szCs w:val="24"/>
          <w:lang w:eastAsia="ru-RU"/>
        </w:rPr>
        <w:t>" - тормозная система, предназначенная для снижения скорости транспортного средства при выходе из строя рабочей тормозной системы;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зона, очищенная от обледенения</w:t>
      </w:r>
      <w:r w:rsidRPr="00197679">
        <w:rPr>
          <w:rFonts w:ascii="Arial" w:hAnsi="Arial" w:cs="Arial"/>
          <w:sz w:val="24"/>
          <w:szCs w:val="24"/>
          <w:lang w:eastAsia="ru-RU"/>
        </w:rPr>
        <w:t>"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идентификация</w:t>
      </w:r>
      <w:r w:rsidRPr="00197679">
        <w:rPr>
          <w:rFonts w:ascii="Arial" w:hAnsi="Arial" w:cs="Arial"/>
          <w:sz w:val="24"/>
          <w:szCs w:val="24"/>
          <w:lang w:eastAsia="ru-RU"/>
        </w:rPr>
        <w:t>"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изготовитель</w:t>
      </w:r>
      <w:r w:rsidRPr="00197679">
        <w:rPr>
          <w:rFonts w:ascii="Arial" w:hAnsi="Arial" w:cs="Arial"/>
          <w:sz w:val="24"/>
          <w:szCs w:val="24"/>
          <w:lang w:eastAsia="ru-RU"/>
        </w:rPr>
        <w:t>"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инновационное транспортное средство</w:t>
      </w:r>
      <w:r w:rsidRPr="00197679">
        <w:rPr>
          <w:rFonts w:ascii="Arial" w:hAnsi="Arial" w:cs="Arial"/>
          <w:sz w:val="24"/>
          <w:szCs w:val="24"/>
          <w:lang w:eastAsia="ru-RU"/>
        </w:rPr>
        <w:t>"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источник света</w:t>
      </w:r>
      <w:r w:rsidRPr="00197679">
        <w:rPr>
          <w:rFonts w:ascii="Arial" w:hAnsi="Arial" w:cs="Arial"/>
          <w:sz w:val="24"/>
          <w:szCs w:val="24"/>
          <w:lang w:eastAsia="ru-RU"/>
        </w:rPr>
        <w:t>"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исходная ось</w:t>
      </w:r>
      <w:r w:rsidRPr="00197679">
        <w:rPr>
          <w:rFonts w:ascii="Arial" w:hAnsi="Arial" w:cs="Arial"/>
          <w:sz w:val="24"/>
          <w:szCs w:val="24"/>
          <w:lang w:eastAsia="ru-RU"/>
        </w:rPr>
        <w:t>"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класс защиты</w:t>
      </w:r>
      <w:r w:rsidRPr="00197679">
        <w:rPr>
          <w:rFonts w:ascii="Arial" w:hAnsi="Arial" w:cs="Arial"/>
          <w:sz w:val="24"/>
          <w:szCs w:val="24"/>
          <w:lang w:eastAsia="ru-RU"/>
        </w:rPr>
        <w:t>" - показатель бронестойкости;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класс источника света</w:t>
      </w:r>
      <w:r w:rsidRPr="00197679">
        <w:rPr>
          <w:rFonts w:ascii="Arial" w:hAnsi="Arial" w:cs="Arial"/>
          <w:sz w:val="24"/>
          <w:szCs w:val="24"/>
          <w:lang w:eastAsia="ru-RU"/>
        </w:rPr>
        <w:t>"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коммерческие перевозки</w:t>
      </w:r>
      <w:r w:rsidRPr="00197679">
        <w:rPr>
          <w:rFonts w:ascii="Arial" w:hAnsi="Arial" w:cs="Arial"/>
          <w:sz w:val="24"/>
          <w:szCs w:val="24"/>
          <w:lang w:eastAsia="ru-RU"/>
        </w:rPr>
        <w:t>"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комплектное транспортное средство</w:t>
      </w:r>
      <w:r w:rsidRPr="00197679">
        <w:rPr>
          <w:rFonts w:ascii="Arial" w:hAnsi="Arial" w:cs="Arial"/>
          <w:sz w:val="24"/>
          <w:szCs w:val="24"/>
          <w:lang w:eastAsia="ru-RU"/>
        </w:rPr>
        <w:t>" - транспортное средство, пригодное для эксплуатации в соответствии с его назначением;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компоненты транспортного средства</w:t>
      </w:r>
      <w:r w:rsidRPr="00197679">
        <w:rPr>
          <w:rFonts w:ascii="Arial" w:hAnsi="Arial" w:cs="Arial"/>
          <w:sz w:val="24"/>
          <w:szCs w:val="24"/>
          <w:lang w:eastAsia="ru-RU"/>
        </w:rPr>
        <w:t>"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кондиционирование</w:t>
      </w:r>
      <w:r w:rsidRPr="00197679">
        <w:rPr>
          <w:rFonts w:ascii="Arial" w:hAnsi="Arial" w:cs="Arial"/>
          <w:sz w:val="24"/>
          <w:szCs w:val="24"/>
          <w:lang w:eastAsia="ru-RU"/>
        </w:rPr>
        <w:t>" - обеспечение регулируемого охлаждения воздуха в обитаемом помещении транспортного средства до уровня или ниже температуры внешней среды;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контурная маркировка</w:t>
      </w:r>
      <w:r w:rsidRPr="00197679">
        <w:rPr>
          <w:rFonts w:ascii="Arial" w:hAnsi="Arial" w:cs="Arial"/>
          <w:sz w:val="24"/>
          <w:szCs w:val="24"/>
          <w:lang w:eastAsia="ru-RU"/>
        </w:rPr>
        <w:t>"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корректор света фар</w:t>
      </w:r>
      <w:r w:rsidRPr="00197679">
        <w:rPr>
          <w:rFonts w:ascii="Arial" w:hAnsi="Arial" w:cs="Arial"/>
          <w:sz w:val="24"/>
          <w:szCs w:val="24"/>
          <w:lang w:eastAsia="ru-RU"/>
        </w:rPr>
        <w:t>"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малая партия транспортных средств (шасси)</w:t>
      </w:r>
      <w:r w:rsidRPr="00197679">
        <w:rPr>
          <w:rFonts w:ascii="Arial" w:hAnsi="Arial" w:cs="Arial"/>
          <w:sz w:val="24"/>
          <w:szCs w:val="24"/>
          <w:lang w:eastAsia="ru-RU"/>
        </w:rPr>
        <w:t>"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L1 - L7, M1, O1 - O2 составляет 150 штук, для категорий M2, N1 - N3, O3 - O4 - 100 штук, для категории M3 - 50 штук;</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марка</w:t>
      </w:r>
      <w:r w:rsidRPr="00197679">
        <w:rPr>
          <w:rFonts w:ascii="Arial" w:hAnsi="Arial" w:cs="Arial"/>
          <w:sz w:val="24"/>
          <w:szCs w:val="24"/>
          <w:lang w:eastAsia="ru-RU"/>
        </w:rPr>
        <w:t>" - используемое изготовителем продукции обозначение, помещаемое на изделии или его упаковке;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масса транспортного средства в снаряженном состоянии</w:t>
      </w:r>
      <w:r w:rsidRPr="00197679">
        <w:rPr>
          <w:rFonts w:ascii="Arial" w:hAnsi="Arial" w:cs="Arial"/>
          <w:sz w:val="24"/>
          <w:szCs w:val="24"/>
          <w:lang w:eastAsia="ru-RU"/>
        </w:rPr>
        <w:t>" - определенная изготовителем масса комплектного транспортного средства с водителем без нагрузки. Масса включает не менее 90% топлива;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междугородное сообщение</w:t>
      </w:r>
      <w:r w:rsidRPr="00197679">
        <w:rPr>
          <w:rFonts w:ascii="Arial" w:hAnsi="Arial" w:cs="Arial"/>
          <w:sz w:val="24"/>
          <w:szCs w:val="24"/>
          <w:lang w:eastAsia="ru-RU"/>
        </w:rPr>
        <w:t>" - перевозка пассажиров автобусами, осуществляемая за пределы границы населенного пункта на расстояние более 50 км;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модельный год</w:t>
      </w:r>
      <w:r w:rsidRPr="00197679">
        <w:rPr>
          <w:rFonts w:ascii="Arial" w:hAnsi="Arial" w:cs="Arial"/>
          <w:sz w:val="24"/>
          <w:szCs w:val="24"/>
          <w:lang w:eastAsia="ru-RU"/>
        </w:rPr>
        <w:t>"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модификация</w:t>
      </w:r>
      <w:r w:rsidRPr="00197679">
        <w:rPr>
          <w:rFonts w:ascii="Arial" w:hAnsi="Arial" w:cs="Arial"/>
          <w:sz w:val="24"/>
          <w:szCs w:val="24"/>
          <w:lang w:eastAsia="ru-RU"/>
        </w:rPr>
        <w:t>" - вариант конструкции, отличающийся от других вариантов, относящихся к тому же типу;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не завершенное изготовлением транспортное средство</w:t>
      </w:r>
      <w:r w:rsidRPr="00197679">
        <w:rPr>
          <w:rFonts w:ascii="Arial" w:hAnsi="Arial" w:cs="Arial"/>
          <w:sz w:val="24"/>
          <w:szCs w:val="24"/>
          <w:lang w:eastAsia="ru-RU"/>
        </w:rPr>
        <w:t>" - транспортное средство, которому требуется достройка для его эксплуатации;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нейтральное положение рулевого колеса (управляемых колес)</w:t>
      </w:r>
      <w:r w:rsidRPr="00197679">
        <w:rPr>
          <w:rFonts w:ascii="Arial" w:hAnsi="Arial" w:cs="Arial"/>
          <w:sz w:val="24"/>
          <w:szCs w:val="24"/>
          <w:lang w:eastAsia="ru-RU"/>
        </w:rPr>
        <w:t>"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непросматриваемые зоны</w:t>
      </w:r>
      <w:r w:rsidRPr="00197679">
        <w:rPr>
          <w:rFonts w:ascii="Arial" w:hAnsi="Arial" w:cs="Arial"/>
          <w:sz w:val="24"/>
          <w:szCs w:val="24"/>
          <w:lang w:eastAsia="ru-RU"/>
        </w:rPr>
        <w:t>"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несоответствие</w:t>
      </w:r>
      <w:r w:rsidRPr="00197679">
        <w:rPr>
          <w:rFonts w:ascii="Arial" w:hAnsi="Arial" w:cs="Arial"/>
          <w:sz w:val="24"/>
          <w:szCs w:val="24"/>
          <w:lang w:eastAsia="ru-RU"/>
        </w:rPr>
        <w:t>" - невыполнение установленного требования;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обзорность</w:t>
      </w:r>
      <w:r w:rsidRPr="00197679">
        <w:rPr>
          <w:rFonts w:ascii="Arial" w:hAnsi="Arial" w:cs="Arial"/>
          <w:sz w:val="24"/>
          <w:szCs w:val="24"/>
          <w:lang w:eastAsia="ru-RU"/>
        </w:rPr>
        <w:t>"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обитаемое помещение</w:t>
      </w:r>
      <w:r w:rsidRPr="00197679">
        <w:rPr>
          <w:rFonts w:ascii="Arial" w:hAnsi="Arial" w:cs="Arial"/>
          <w:sz w:val="24"/>
          <w:szCs w:val="24"/>
          <w:lang w:eastAsia="ru-RU"/>
        </w:rPr>
        <w:t>" - внутренняя часть транспортного средства, используемая для размещения водителя (экипажа) и пассажиров;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одобрение типа</w:t>
      </w:r>
      <w:r w:rsidRPr="00197679">
        <w:rPr>
          <w:rFonts w:ascii="Arial" w:hAnsi="Arial" w:cs="Arial"/>
          <w:sz w:val="24"/>
          <w:szCs w:val="24"/>
          <w:lang w:eastAsia="ru-RU"/>
        </w:rPr>
        <w:t>"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одобрение типа транспортного средства</w:t>
      </w:r>
      <w:r w:rsidRPr="00197679">
        <w:rPr>
          <w:rFonts w:ascii="Arial" w:hAnsi="Arial" w:cs="Arial"/>
          <w:sz w:val="24"/>
          <w:szCs w:val="24"/>
          <w:lang w:eastAsia="ru-RU"/>
        </w:rPr>
        <w:t>"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одобрение типа шасси</w:t>
      </w:r>
      <w:r w:rsidRPr="00197679">
        <w:rPr>
          <w:rFonts w:ascii="Arial" w:hAnsi="Arial" w:cs="Arial"/>
          <w:sz w:val="24"/>
          <w:szCs w:val="24"/>
          <w:lang w:eastAsia="ru-RU"/>
        </w:rPr>
        <w:t>"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опознавательные знаки</w:t>
      </w:r>
      <w:r w:rsidRPr="00197679">
        <w:rPr>
          <w:rFonts w:ascii="Arial" w:hAnsi="Arial" w:cs="Arial"/>
          <w:sz w:val="24"/>
          <w:szCs w:val="24"/>
          <w:lang w:eastAsia="ru-RU"/>
        </w:rPr>
        <w:t>"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оптическая ось прибора для проверки и регулировки фар</w:t>
      </w:r>
      <w:r w:rsidRPr="00197679">
        <w:rPr>
          <w:rFonts w:ascii="Arial" w:hAnsi="Arial" w:cs="Arial"/>
          <w:sz w:val="24"/>
          <w:szCs w:val="24"/>
          <w:lang w:eastAsia="ru-RU"/>
        </w:rPr>
        <w:t>" - линия, проходящая через центр объектива на экране, встроенном в прибор для проверки и регулировки фар;</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оптический центр (центр отсчета)</w:t>
      </w:r>
      <w:r w:rsidRPr="00197679">
        <w:rPr>
          <w:rFonts w:ascii="Arial" w:hAnsi="Arial" w:cs="Arial"/>
          <w:sz w:val="24"/>
          <w:szCs w:val="24"/>
          <w:lang w:eastAsia="ru-RU"/>
        </w:rPr>
        <w:t>" - обозначение на рассеивателе точки пересечения его наружной поверхности осью отсчета светового прибора;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орган управления</w:t>
      </w:r>
      <w:r w:rsidRPr="00197679">
        <w:rPr>
          <w:rFonts w:ascii="Arial" w:hAnsi="Arial" w:cs="Arial"/>
          <w:sz w:val="24"/>
          <w:szCs w:val="24"/>
          <w:lang w:eastAsia="ru-RU"/>
        </w:rPr>
        <w:t>"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оригинальные компоненты</w:t>
      </w:r>
      <w:r w:rsidRPr="00197679">
        <w:rPr>
          <w:rFonts w:ascii="Arial" w:hAnsi="Arial" w:cs="Arial"/>
          <w:sz w:val="24"/>
          <w:szCs w:val="24"/>
          <w:lang w:eastAsia="ru-RU"/>
        </w:rPr>
        <w:t>" - компоненты, поставляемые на сборочное производство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ось отсчета</w:t>
      </w:r>
      <w:r w:rsidRPr="00197679">
        <w:rPr>
          <w:rFonts w:ascii="Arial" w:hAnsi="Arial" w:cs="Arial"/>
          <w:sz w:val="24"/>
          <w:szCs w:val="24"/>
          <w:lang w:eastAsia="ru-RU"/>
        </w:rPr>
        <w:t>"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откидное сиденье</w:t>
      </w:r>
      <w:r w:rsidRPr="00197679">
        <w:rPr>
          <w:rFonts w:ascii="Arial" w:hAnsi="Arial" w:cs="Arial"/>
          <w:sz w:val="24"/>
          <w:szCs w:val="24"/>
          <w:lang w:eastAsia="ru-RU"/>
        </w:rPr>
        <w:t>" - дополнительное сиденье, которое предназначено для нерегулярного использования и обычно находится в сложенном состоянии;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отопление</w:t>
      </w:r>
      <w:r w:rsidRPr="00197679">
        <w:rPr>
          <w:rFonts w:ascii="Arial" w:hAnsi="Arial" w:cs="Arial"/>
          <w:sz w:val="24"/>
          <w:szCs w:val="24"/>
          <w:lang w:eastAsia="ru-RU"/>
        </w:rPr>
        <w:t>" - регулируемое повышение и поддержание на заданном уровне температуры в обитаемом помещении;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передаточное число рулевого управления</w:t>
      </w:r>
      <w:r w:rsidRPr="00197679">
        <w:rPr>
          <w:rFonts w:ascii="Arial" w:hAnsi="Arial" w:cs="Arial"/>
          <w:sz w:val="24"/>
          <w:szCs w:val="24"/>
          <w:lang w:eastAsia="ru-RU"/>
        </w:rPr>
        <w:t>" - отношение угла поворота рулевого колеса к среднему углу поворота управляемых колес;</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подтекание</w:t>
      </w:r>
      <w:r w:rsidRPr="00197679">
        <w:rPr>
          <w:rFonts w:ascii="Arial" w:hAnsi="Arial" w:cs="Arial"/>
          <w:sz w:val="24"/>
          <w:szCs w:val="24"/>
          <w:lang w:eastAsia="ru-RU"/>
        </w:rPr>
        <w:t>" - появление жидкости на поверхности и в соединениях деталей герметичных систем транспортного средства, воспринимаемое на ощупь;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подушка безопасности</w:t>
      </w:r>
      <w:r w:rsidRPr="00197679">
        <w:rPr>
          <w:rFonts w:ascii="Arial" w:hAnsi="Arial" w:cs="Arial"/>
          <w:sz w:val="24"/>
          <w:szCs w:val="24"/>
          <w:lang w:eastAsia="ru-RU"/>
        </w:rPr>
        <w:t>" - мешок из эластичного материала, наполняемый газом при срабатывании пиротехнического газогенератора;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представитель изготовителя</w:t>
      </w:r>
      <w:r w:rsidRPr="00197679">
        <w:rPr>
          <w:rFonts w:ascii="Arial" w:hAnsi="Arial" w:cs="Arial"/>
          <w:sz w:val="24"/>
          <w:szCs w:val="24"/>
          <w:lang w:eastAsia="ru-RU"/>
        </w:rPr>
        <w:t>"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продолжительность свечения</w:t>
      </w:r>
      <w:r w:rsidRPr="00197679">
        <w:rPr>
          <w:rFonts w:ascii="Arial" w:hAnsi="Arial" w:cs="Arial"/>
          <w:sz w:val="24"/>
          <w:szCs w:val="24"/>
          <w:lang w:eastAsia="ru-RU"/>
        </w:rPr>
        <w:t>" - период времени, в течение которого сила света вспышки специального светового сигнала превышает 10% максимальной силы света;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продольная центральная (средняя) плоскость транспортного средства</w:t>
      </w:r>
      <w:r w:rsidRPr="00197679">
        <w:rPr>
          <w:rFonts w:ascii="Arial" w:hAnsi="Arial" w:cs="Arial"/>
          <w:sz w:val="24"/>
          <w:szCs w:val="24"/>
          <w:lang w:eastAsia="ru-RU"/>
        </w:rPr>
        <w:t>" - плоскость, перпендикулярная плоскости опорной поверхности и проходящая через середину колеи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прозрачная часть переднего и боковых окон</w:t>
      </w:r>
      <w:r w:rsidRPr="00197679">
        <w:rPr>
          <w:rFonts w:ascii="Arial" w:hAnsi="Arial" w:cs="Arial"/>
          <w:sz w:val="24"/>
          <w:szCs w:val="24"/>
          <w:lang w:eastAsia="ru-RU"/>
        </w:rPr>
        <w:t>" - часть стекла переднего и боковых окон, свободная от непрозрачных элементов конструкции, имеющая светопропускание не менее 70%;</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работоспособность</w:t>
      </w:r>
      <w:r w:rsidRPr="00197679">
        <w:rPr>
          <w:rFonts w:ascii="Arial" w:hAnsi="Arial" w:cs="Arial"/>
          <w:sz w:val="24"/>
          <w:szCs w:val="24"/>
          <w:lang w:eastAsia="ru-RU"/>
        </w:rPr>
        <w:t>"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рабочая тормозная система</w:t>
      </w:r>
      <w:r w:rsidRPr="00197679">
        <w:rPr>
          <w:rFonts w:ascii="Arial" w:hAnsi="Arial" w:cs="Arial"/>
          <w:sz w:val="24"/>
          <w:szCs w:val="24"/>
          <w:lang w:eastAsia="ru-RU"/>
        </w:rPr>
        <w:t>" - тормозная система, предназначенная для снижения скорости и (или) остановки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разгружаемая ось</w:t>
      </w:r>
      <w:r w:rsidRPr="00197679">
        <w:rPr>
          <w:rFonts w:ascii="Arial" w:hAnsi="Arial" w:cs="Arial"/>
          <w:sz w:val="24"/>
          <w:szCs w:val="24"/>
          <w:lang w:eastAsia="ru-RU"/>
        </w:rPr>
        <w:t>" - ось, нагрузка на которую может изменяться без отрыва оси от опорной поверхности с помощью устройства разгрузки оси;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разрешенная максимальная масса</w:t>
      </w:r>
      <w:r w:rsidRPr="00197679">
        <w:rPr>
          <w:rFonts w:ascii="Arial" w:hAnsi="Arial" w:cs="Arial"/>
          <w:sz w:val="24"/>
          <w:szCs w:val="24"/>
          <w:lang w:eastAsia="ru-RU"/>
        </w:rPr>
        <w:t>"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рассеиватель</w:t>
      </w:r>
      <w:r w:rsidRPr="00197679">
        <w:rPr>
          <w:rFonts w:ascii="Arial" w:hAnsi="Arial" w:cs="Arial"/>
          <w:sz w:val="24"/>
          <w:szCs w:val="24"/>
          <w:lang w:eastAsia="ru-RU"/>
        </w:rPr>
        <w:t>" - наиболее удаленный элемент светового прибора, который пропускает свет через освещающую поверхность;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режим промышленной сборки</w:t>
      </w:r>
      <w:r w:rsidRPr="00197679">
        <w:rPr>
          <w:rFonts w:ascii="Arial" w:hAnsi="Arial" w:cs="Arial"/>
          <w:sz w:val="24"/>
          <w:szCs w:val="24"/>
          <w:lang w:eastAsia="ru-RU"/>
        </w:rPr>
        <w:t>"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рулевой механизм</w:t>
      </w:r>
      <w:r w:rsidRPr="00197679">
        <w:rPr>
          <w:rFonts w:ascii="Arial" w:hAnsi="Arial" w:cs="Arial"/>
          <w:sz w:val="24"/>
          <w:szCs w:val="24"/>
          <w:lang w:eastAsia="ru-RU"/>
        </w:rPr>
        <w:t>" - механизм, преобразующий вращение рулевого колеса в поступательное перемещение рулевого привода, вызывающее поворот управляемых колес;</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рулевой привод</w:t>
      </w:r>
      <w:r w:rsidRPr="00197679">
        <w:rPr>
          <w:rFonts w:ascii="Arial" w:hAnsi="Arial" w:cs="Arial"/>
          <w:sz w:val="24"/>
          <w:szCs w:val="24"/>
          <w:lang w:eastAsia="ru-RU"/>
        </w:rPr>
        <w:t>" - система тяг и рычагов, осуществляющая связь управляемых колес автомобиля с рулевым механизмом;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самоуправляемая ось</w:t>
      </w:r>
      <w:r w:rsidRPr="00197679">
        <w:rPr>
          <w:rFonts w:ascii="Arial" w:hAnsi="Arial" w:cs="Arial"/>
          <w:sz w:val="24"/>
          <w:szCs w:val="24"/>
          <w:lang w:eastAsia="ru-RU"/>
        </w:rPr>
        <w:t>"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самоустанавливающиеся колеса</w:t>
      </w:r>
      <w:r w:rsidRPr="00197679">
        <w:rPr>
          <w:rFonts w:ascii="Arial" w:hAnsi="Arial" w:cs="Arial"/>
          <w:sz w:val="24"/>
          <w:szCs w:val="24"/>
          <w:lang w:eastAsia="ru-RU"/>
        </w:rPr>
        <w:t>"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самоходное шасси</w:t>
      </w:r>
      <w:r w:rsidRPr="00197679">
        <w:rPr>
          <w:rFonts w:ascii="Arial" w:hAnsi="Arial" w:cs="Arial"/>
          <w:sz w:val="24"/>
          <w:szCs w:val="24"/>
          <w:lang w:eastAsia="ru-RU"/>
        </w:rPr>
        <w:t>"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сборочный комплект</w:t>
      </w:r>
      <w:r w:rsidRPr="00197679">
        <w:rPr>
          <w:rFonts w:ascii="Arial" w:hAnsi="Arial" w:cs="Arial"/>
          <w:sz w:val="24"/>
          <w:szCs w:val="24"/>
          <w:lang w:eastAsia="ru-RU"/>
        </w:rPr>
        <w:t>"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световой модуль</w:t>
      </w:r>
      <w:r w:rsidRPr="00197679">
        <w:rPr>
          <w:rFonts w:ascii="Arial" w:hAnsi="Arial" w:cs="Arial"/>
          <w:sz w:val="24"/>
          <w:szCs w:val="24"/>
          <w:lang w:eastAsia="ru-RU"/>
        </w:rPr>
        <w:t>"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свидетельство о безопасности конструкции транспортного средства</w:t>
      </w:r>
      <w:r w:rsidRPr="00197679">
        <w:rPr>
          <w:rFonts w:ascii="Arial" w:hAnsi="Arial" w:cs="Arial"/>
          <w:sz w:val="24"/>
          <w:szCs w:val="24"/>
          <w:lang w:eastAsia="ru-RU"/>
        </w:rPr>
        <w:t>"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сепаратор "воздух - вода</w:t>
      </w:r>
      <w:r w:rsidRPr="00197679">
        <w:rPr>
          <w:rFonts w:ascii="Arial" w:hAnsi="Arial" w:cs="Arial"/>
          <w:sz w:val="24"/>
          <w:szCs w:val="24"/>
          <w:lang w:eastAsia="ru-RU"/>
        </w:rPr>
        <w:t>" - компонент, образующий часть наружной боковины и (или) брызговика, который может пропускать воздух, одновременно уменьшая разбрызгивание воды;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сертификационные испытания</w:t>
      </w:r>
      <w:r w:rsidRPr="00197679">
        <w:rPr>
          <w:rFonts w:ascii="Arial" w:hAnsi="Arial" w:cs="Arial"/>
          <w:sz w:val="24"/>
          <w:szCs w:val="24"/>
          <w:lang w:eastAsia="ru-RU"/>
        </w:rPr>
        <w:t>"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система защиты от разбрызгивания</w:t>
      </w:r>
      <w:r w:rsidRPr="00197679">
        <w:rPr>
          <w:rFonts w:ascii="Arial" w:hAnsi="Arial" w:cs="Arial"/>
          <w:sz w:val="24"/>
          <w:szCs w:val="24"/>
          <w:lang w:eastAsia="ru-RU"/>
        </w:rPr>
        <w:t>" - устройства, предназначенные для защиты от разбрызгивания воды, выбрасываемой шинами движущегося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система нейтрализации отработавших газов</w:t>
      </w:r>
      <w:r w:rsidRPr="00197679">
        <w:rPr>
          <w:rFonts w:ascii="Arial" w:hAnsi="Arial" w:cs="Arial"/>
          <w:sz w:val="24"/>
          <w:szCs w:val="24"/>
          <w:lang w:eastAsia="ru-RU"/>
        </w:rPr>
        <w:t>" - совокупность компонентов, обеспечивающих снижение выбросов загрязняющих веществ с отработавшими газами при работе двигателя;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система омывания</w:t>
      </w:r>
      <w:r w:rsidRPr="00197679">
        <w:rPr>
          <w:rFonts w:ascii="Arial" w:hAnsi="Arial" w:cs="Arial"/>
          <w:sz w:val="24"/>
          <w:szCs w:val="24"/>
          <w:lang w:eastAsia="ru-RU"/>
        </w:rPr>
        <w:t>"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система очистки</w:t>
      </w:r>
      <w:r w:rsidRPr="00197679">
        <w:rPr>
          <w:rFonts w:ascii="Arial" w:hAnsi="Arial" w:cs="Arial"/>
          <w:sz w:val="24"/>
          <w:szCs w:val="24"/>
          <w:lang w:eastAsia="ru-RU"/>
        </w:rPr>
        <w:t>"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скорость транспортного средства</w:t>
      </w:r>
      <w:r w:rsidRPr="00197679">
        <w:rPr>
          <w:rFonts w:ascii="Arial" w:hAnsi="Arial" w:cs="Arial"/>
          <w:sz w:val="24"/>
          <w:szCs w:val="24"/>
          <w:lang w:eastAsia="ru-RU"/>
        </w:rPr>
        <w:t>" - линейная скорость центра масс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сообщение об официальном утверждении типа</w:t>
      </w:r>
      <w:r w:rsidRPr="00197679">
        <w:rPr>
          <w:rFonts w:ascii="Arial" w:hAnsi="Arial" w:cs="Arial"/>
          <w:sz w:val="24"/>
          <w:szCs w:val="24"/>
          <w:lang w:eastAsia="ru-RU"/>
        </w:rPr>
        <w:t xml:space="preserve">" - документ, выдаваемый на основании </w:t>
      </w:r>
      <w:hyperlink r:id="rId34"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hAnsi="Arial" w:cs="Arial"/>
            <w:color w:val="0000FF"/>
            <w:sz w:val="24"/>
            <w:szCs w:val="24"/>
            <w:lang w:eastAsia="ru-RU"/>
          </w:rPr>
          <w:t>Соглашения 1958 года</w:t>
        </w:r>
      </w:hyperlink>
      <w:r w:rsidRPr="00197679">
        <w:rPr>
          <w:rFonts w:ascii="Arial" w:hAnsi="Arial" w:cs="Arial"/>
          <w:sz w:val="24"/>
          <w:szCs w:val="24"/>
          <w:lang w:eastAsia="ru-RU"/>
        </w:rPr>
        <w:t>, удостоверяющий соответствие транспортного средства или его компонента требованиям Правил ЕЭК ООН;</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сочлененное транспортное средство</w:t>
      </w:r>
      <w:r w:rsidRPr="00197679">
        <w:rPr>
          <w:rFonts w:ascii="Arial" w:hAnsi="Arial" w:cs="Arial"/>
          <w:sz w:val="24"/>
          <w:szCs w:val="24"/>
          <w:lang w:eastAsia="ru-RU"/>
        </w:rPr>
        <w:t>"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специализированное пассажирское транспортное средство</w:t>
      </w:r>
      <w:r w:rsidRPr="00197679">
        <w:rPr>
          <w:rFonts w:ascii="Arial" w:hAnsi="Arial" w:cs="Arial"/>
          <w:sz w:val="24"/>
          <w:szCs w:val="24"/>
          <w:lang w:eastAsia="ru-RU"/>
        </w:rPr>
        <w:t>" - транспортное средство категории M2G или M3G, изготовленное на шасси транспортного средства повышенной проходимости категории N1G, N2G или N3G;</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специализированное транспортное средство</w:t>
      </w:r>
      <w:r w:rsidRPr="00197679">
        <w:rPr>
          <w:rFonts w:ascii="Arial" w:hAnsi="Arial" w:cs="Arial"/>
          <w:sz w:val="24"/>
          <w:szCs w:val="24"/>
          <w:lang w:eastAsia="ru-RU"/>
        </w:rPr>
        <w:t>"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специальное транспортное средство</w:t>
      </w:r>
      <w:r w:rsidRPr="00197679">
        <w:rPr>
          <w:rFonts w:ascii="Arial" w:hAnsi="Arial" w:cs="Arial"/>
          <w:sz w:val="24"/>
          <w:szCs w:val="24"/>
          <w:lang w:eastAsia="ru-RU"/>
        </w:rPr>
        <w:t>"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стабилизация рулевого управления</w:t>
      </w:r>
      <w:r w:rsidRPr="00197679">
        <w:rPr>
          <w:rFonts w:ascii="Arial" w:hAnsi="Arial" w:cs="Arial"/>
          <w:sz w:val="24"/>
          <w:szCs w:val="24"/>
          <w:lang w:eastAsia="ru-RU"/>
        </w:rPr>
        <w:t>"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степень очистки нормативной зоны</w:t>
      </w:r>
      <w:r w:rsidRPr="00197679">
        <w:rPr>
          <w:rFonts w:ascii="Arial" w:hAnsi="Arial" w:cs="Arial"/>
          <w:sz w:val="24"/>
          <w:szCs w:val="24"/>
          <w:lang w:eastAsia="ru-RU"/>
        </w:rPr>
        <w:t>"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стойки переднего окна</w:t>
      </w:r>
      <w:r w:rsidRPr="00197679">
        <w:rPr>
          <w:rFonts w:ascii="Arial" w:hAnsi="Arial" w:cs="Arial"/>
          <w:sz w:val="24"/>
          <w:szCs w:val="24"/>
          <w:lang w:eastAsia="ru-RU"/>
        </w:rPr>
        <w:t>"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стояночная тормозная система</w:t>
      </w:r>
      <w:r w:rsidRPr="00197679">
        <w:rPr>
          <w:rFonts w:ascii="Arial" w:hAnsi="Arial" w:cs="Arial"/>
          <w:sz w:val="24"/>
          <w:szCs w:val="24"/>
          <w:lang w:eastAsia="ru-RU"/>
        </w:rPr>
        <w:t>" - тормозная система, предназначенная для удержания транспортного средства неподвижным;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суммарный люфт в рулевом управлении</w:t>
      </w:r>
      <w:r w:rsidRPr="00197679">
        <w:rPr>
          <w:rFonts w:ascii="Arial" w:hAnsi="Arial" w:cs="Arial"/>
          <w:sz w:val="24"/>
          <w:szCs w:val="24"/>
          <w:lang w:eastAsia="ru-RU"/>
        </w:rPr>
        <w:t>"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техническая служба</w:t>
      </w:r>
      <w:r w:rsidRPr="00197679">
        <w:rPr>
          <w:rFonts w:ascii="Arial" w:hAnsi="Arial" w:cs="Arial"/>
          <w:sz w:val="24"/>
          <w:szCs w:val="24"/>
          <w:lang w:eastAsia="ru-RU"/>
        </w:rPr>
        <w:t xml:space="preserve">" - уполномоченная организация по проведению испытаний для официального утверждения типа транспортного средства в рамках </w:t>
      </w:r>
      <w:hyperlink r:id="rId35"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hAnsi="Arial" w:cs="Arial"/>
            <w:color w:val="0000FF"/>
            <w:sz w:val="24"/>
            <w:szCs w:val="24"/>
            <w:lang w:eastAsia="ru-RU"/>
          </w:rPr>
          <w:t>Соглашения 1958 года</w:t>
        </w:r>
      </w:hyperlink>
      <w:r w:rsidRPr="00197679">
        <w:rPr>
          <w:rFonts w:ascii="Arial" w:hAnsi="Arial" w:cs="Arial"/>
          <w:sz w:val="24"/>
          <w:szCs w:val="24"/>
          <w:lang w:eastAsia="ru-RU"/>
        </w:rPr>
        <w:t>;</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техническая экспертиза конструкции транспортного средства</w:t>
      </w:r>
      <w:r w:rsidRPr="00197679">
        <w:rPr>
          <w:rFonts w:ascii="Arial" w:hAnsi="Arial" w:cs="Arial"/>
          <w:sz w:val="24"/>
          <w:szCs w:val="24"/>
          <w:lang w:eastAsia="ru-RU"/>
        </w:rPr>
        <w:t>" - анализ конструкции транспортного средства и технической документации на него без проведения испытаний;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технически допустимая максимальная масса</w:t>
      </w:r>
      <w:r w:rsidRPr="00197679">
        <w:rPr>
          <w:rFonts w:ascii="Arial" w:hAnsi="Arial" w:cs="Arial"/>
          <w:sz w:val="24"/>
          <w:szCs w:val="24"/>
          <w:lang w:eastAsia="ru-RU"/>
        </w:rPr>
        <w:t>"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технически допустимая максимальная масса автопоезда</w:t>
      </w:r>
      <w:r w:rsidRPr="00197679">
        <w:rPr>
          <w:rFonts w:ascii="Arial" w:hAnsi="Arial" w:cs="Arial"/>
          <w:sz w:val="24"/>
          <w:szCs w:val="24"/>
          <w:lang w:eastAsia="ru-RU"/>
        </w:rPr>
        <w:t>"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технически допустимая максимальная масса, приходящаяся на ось (группу осей)</w:t>
      </w:r>
      <w:r w:rsidRPr="00197679">
        <w:rPr>
          <w:rFonts w:ascii="Arial" w:hAnsi="Arial" w:cs="Arial"/>
          <w:sz w:val="24"/>
          <w:szCs w:val="24"/>
          <w:lang w:eastAsia="ru-RU"/>
        </w:rPr>
        <w:t>"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технически допустимая максимальная нагрузка на опорно-сцепное устройство</w:t>
      </w:r>
      <w:r w:rsidRPr="00197679">
        <w:rPr>
          <w:rFonts w:ascii="Arial" w:hAnsi="Arial" w:cs="Arial"/>
          <w:sz w:val="24"/>
          <w:szCs w:val="24"/>
          <w:lang w:eastAsia="ru-RU"/>
        </w:rPr>
        <w:t>"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технически допустимая максимальная нагрузка на тягово-сцепное устройство</w:t>
      </w:r>
      <w:r w:rsidRPr="00197679">
        <w:rPr>
          <w:rFonts w:ascii="Arial" w:hAnsi="Arial" w:cs="Arial"/>
          <w:sz w:val="24"/>
          <w:szCs w:val="24"/>
          <w:lang w:eastAsia="ru-RU"/>
        </w:rPr>
        <w:t>"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технический осмотр</w:t>
      </w:r>
      <w:r w:rsidRPr="00197679">
        <w:rPr>
          <w:rFonts w:ascii="Arial" w:hAnsi="Arial" w:cs="Arial"/>
          <w:sz w:val="24"/>
          <w:szCs w:val="24"/>
          <w:lang w:eastAsia="ru-RU"/>
        </w:rPr>
        <w:t>" - проверка технического состояния находящегося в эксплуатации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техническое обслуживание транспортного средства</w:t>
      </w:r>
      <w:r w:rsidRPr="00197679">
        <w:rPr>
          <w:rFonts w:ascii="Arial" w:hAnsi="Arial" w:cs="Arial"/>
          <w:sz w:val="24"/>
          <w:szCs w:val="24"/>
          <w:lang w:eastAsia="ru-RU"/>
        </w:rPr>
        <w:t>"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техническое описание</w:t>
      </w:r>
      <w:r w:rsidRPr="00197679">
        <w:rPr>
          <w:rFonts w:ascii="Arial" w:hAnsi="Arial" w:cs="Arial"/>
          <w:sz w:val="24"/>
          <w:szCs w:val="24"/>
          <w:lang w:eastAsia="ru-RU"/>
        </w:rPr>
        <w:t>"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техническое состояние</w:t>
      </w:r>
      <w:r w:rsidRPr="00197679">
        <w:rPr>
          <w:rFonts w:ascii="Arial" w:hAnsi="Arial" w:cs="Arial"/>
          <w:sz w:val="24"/>
          <w:szCs w:val="24"/>
          <w:lang w:eastAsia="ru-RU"/>
        </w:rPr>
        <w:t>"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тип транспортного средства (шасси, компонента)</w:t>
      </w:r>
      <w:r w:rsidRPr="00197679">
        <w:rPr>
          <w:rFonts w:ascii="Arial" w:hAnsi="Arial" w:cs="Arial"/>
          <w:sz w:val="24"/>
          <w:szCs w:val="24"/>
          <w:lang w:eastAsia="ru-RU"/>
        </w:rPr>
        <w:t>"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торможение</w:t>
      </w:r>
      <w:r w:rsidRPr="00197679">
        <w:rPr>
          <w:rFonts w:ascii="Arial" w:hAnsi="Arial" w:cs="Arial"/>
          <w:sz w:val="24"/>
          <w:szCs w:val="24"/>
          <w:lang w:eastAsia="ru-RU"/>
        </w:rPr>
        <w:t>" - процесс создания и изменения искусственного сопротивления движению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тормозная сила</w:t>
      </w:r>
      <w:r w:rsidRPr="00197679">
        <w:rPr>
          <w:rFonts w:ascii="Arial" w:hAnsi="Arial" w:cs="Arial"/>
          <w:sz w:val="24"/>
          <w:szCs w:val="24"/>
          <w:lang w:eastAsia="ru-RU"/>
        </w:rPr>
        <w:t>" - реакция опорной поверхности на колесо транспортного средства, вызывающая замедление колеса и (или)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тормозная система</w:t>
      </w:r>
      <w:r w:rsidRPr="00197679">
        <w:rPr>
          <w:rFonts w:ascii="Arial" w:hAnsi="Arial" w:cs="Arial"/>
          <w:sz w:val="24"/>
          <w:szCs w:val="24"/>
          <w:lang w:eastAsia="ru-RU"/>
        </w:rPr>
        <w:t>" - совокупность частей транспортного средства, предназначенных для его торможения при воздействии на орган управления тормозной системы;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тормозной привод</w:t>
      </w:r>
      <w:r w:rsidRPr="00197679">
        <w:rPr>
          <w:rFonts w:ascii="Arial" w:hAnsi="Arial" w:cs="Arial"/>
          <w:sz w:val="24"/>
          <w:szCs w:val="24"/>
          <w:lang w:eastAsia="ru-RU"/>
        </w:rPr>
        <w:t>"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тормозной путь</w:t>
      </w:r>
      <w:r w:rsidRPr="00197679">
        <w:rPr>
          <w:rFonts w:ascii="Arial" w:hAnsi="Arial" w:cs="Arial"/>
          <w:sz w:val="24"/>
          <w:szCs w:val="24"/>
          <w:lang w:eastAsia="ru-RU"/>
        </w:rPr>
        <w:t>" - расстояние, пройденное транспортным средством от начала до конца торможения;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транспортное средство</w:t>
      </w:r>
      <w:r w:rsidRPr="00197679">
        <w:rPr>
          <w:rFonts w:ascii="Arial" w:hAnsi="Arial" w:cs="Arial"/>
          <w:sz w:val="24"/>
          <w:szCs w:val="24"/>
          <w:lang w:eastAsia="ru-RU"/>
        </w:rPr>
        <w:t>" - устройство на колесном ходу категорий L, M, N, О, предназначенное для перевозки людей, грузов или оборудования, установленного на нем;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угол регулировки светового пучка фар ближнего света или противотуманных фар транспортного средства</w:t>
      </w:r>
      <w:r w:rsidRPr="00197679">
        <w:rPr>
          <w:rFonts w:ascii="Arial" w:hAnsi="Arial" w:cs="Arial"/>
          <w:sz w:val="24"/>
          <w:szCs w:val="24"/>
          <w:lang w:eastAsia="ru-RU"/>
        </w:rPr>
        <w:t>"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удельная мощность на единицу массы</w:t>
      </w:r>
      <w:r w:rsidRPr="00197679">
        <w:rPr>
          <w:rFonts w:ascii="Arial" w:hAnsi="Arial" w:cs="Arial"/>
          <w:sz w:val="24"/>
          <w:szCs w:val="24"/>
          <w:lang w:eastAsia="ru-RU"/>
        </w:rPr>
        <w:t>" - отношение максимальной полезной мощности двигателя к технически допустимой максимальной массе транспортного средства, в кВт/т;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управляемые колеса</w:t>
      </w:r>
      <w:r w:rsidRPr="00197679">
        <w:rPr>
          <w:rFonts w:ascii="Arial" w:hAnsi="Arial" w:cs="Arial"/>
          <w:sz w:val="24"/>
          <w:szCs w:val="24"/>
          <w:lang w:eastAsia="ru-RU"/>
        </w:rPr>
        <w:t>" - колеса, приводимые в действие рулевым управлением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уровень выбросов</w:t>
      </w:r>
      <w:r w:rsidRPr="00197679">
        <w:rPr>
          <w:rFonts w:ascii="Arial" w:hAnsi="Arial" w:cs="Arial"/>
          <w:sz w:val="24"/>
          <w:szCs w:val="24"/>
          <w:lang w:eastAsia="ru-RU"/>
        </w:rPr>
        <w:t>"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установившееся замедление</w:t>
      </w:r>
      <w:r w:rsidRPr="00197679">
        <w:rPr>
          <w:rFonts w:ascii="Arial" w:hAnsi="Arial" w:cs="Arial"/>
          <w:sz w:val="24"/>
          <w:szCs w:val="24"/>
          <w:lang w:eastAsia="ru-RU"/>
        </w:rPr>
        <w:t>" - среднее значение замедления за время торможения от момента окончания периода нарастания замедления до начала его спада в конце торможения;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устойчивость транспортного средства при торможении</w:t>
      </w:r>
      <w:r w:rsidRPr="00197679">
        <w:rPr>
          <w:rFonts w:ascii="Arial" w:hAnsi="Arial" w:cs="Arial"/>
          <w:sz w:val="24"/>
          <w:szCs w:val="24"/>
          <w:lang w:eastAsia="ru-RU"/>
        </w:rPr>
        <w:t>" - способность транспортного средства двигаться при торможениях в пределах установленного коридора движения;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устройство для уменьшения разбрызгивания</w:t>
      </w:r>
      <w:r w:rsidRPr="00197679">
        <w:rPr>
          <w:rFonts w:ascii="Arial" w:hAnsi="Arial" w:cs="Arial"/>
          <w:sz w:val="24"/>
          <w:szCs w:val="24"/>
          <w:lang w:eastAsia="ru-RU"/>
        </w:rPr>
        <w:t>" - компонент системы защиты от разбрызгивания, который может быть выполнен как энергопоглощающее устройство или как сепаратор "воздух - вода";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устройство разгрузки оси</w:t>
      </w:r>
      <w:r w:rsidRPr="00197679">
        <w:rPr>
          <w:rFonts w:ascii="Arial" w:hAnsi="Arial" w:cs="Arial"/>
          <w:sz w:val="24"/>
          <w:szCs w:val="24"/>
          <w:lang w:eastAsia="ru-RU"/>
        </w:rPr>
        <w:t>"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фары типа DR, DC, DCR</w:t>
      </w:r>
      <w:r w:rsidRPr="00197679">
        <w:rPr>
          <w:rFonts w:ascii="Arial" w:hAnsi="Arial" w:cs="Arial"/>
          <w:sz w:val="24"/>
          <w:szCs w:val="24"/>
          <w:lang w:eastAsia="ru-RU"/>
        </w:rPr>
        <w:t>" - фары с газоразрядными источниками света класса D дальнего DR-света и ближнего DC-света и двухрежимные (ближнего и дальнего) DCR-света;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фары типа HR, HC, HCR</w:t>
      </w:r>
      <w:r w:rsidRPr="00197679">
        <w:rPr>
          <w:rFonts w:ascii="Arial" w:hAnsi="Arial" w:cs="Arial"/>
          <w:sz w:val="24"/>
          <w:szCs w:val="24"/>
          <w:lang w:eastAsia="ru-RU"/>
        </w:rPr>
        <w:t>" - фары с галогенными источниками света класса H дальнего HR-света и ближнего HC-света и двухрежимные (ближнего и дальнего) HCR-света;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фары типа R, C, CR</w:t>
      </w:r>
      <w:r w:rsidRPr="00197679">
        <w:rPr>
          <w:rFonts w:ascii="Arial" w:hAnsi="Arial" w:cs="Arial"/>
          <w:sz w:val="24"/>
          <w:szCs w:val="24"/>
          <w:lang w:eastAsia="ru-RU"/>
        </w:rPr>
        <w:t>" - фары с источниками света в виде ламп накаливания класса 0 дальнего R-света и ближнего C-света и двухрежимные (ближнего и дальнего) CR-света;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фары типа B и типа F3</w:t>
      </w:r>
      <w:r w:rsidRPr="00197679">
        <w:rPr>
          <w:rFonts w:ascii="Arial" w:hAnsi="Arial" w:cs="Arial"/>
          <w:sz w:val="24"/>
          <w:szCs w:val="24"/>
          <w:lang w:eastAsia="ru-RU"/>
        </w:rPr>
        <w:t>" - фары противотуманные, отличающиеся фотометрическими характеристиками и маркировкой, нанесенной на фару;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форсунка стеклоомывателя</w:t>
      </w:r>
      <w:r w:rsidRPr="00197679">
        <w:rPr>
          <w:rFonts w:ascii="Arial" w:hAnsi="Arial" w:cs="Arial"/>
          <w:sz w:val="24"/>
          <w:szCs w:val="24"/>
          <w:lang w:eastAsia="ru-RU"/>
        </w:rPr>
        <w:t>" - устройство, которое направляет омывающую жидкость на ветровое стекло;</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холодный тормозной механизм</w:t>
      </w:r>
      <w:r w:rsidRPr="00197679">
        <w:rPr>
          <w:rFonts w:ascii="Arial" w:hAnsi="Arial" w:cs="Arial"/>
          <w:sz w:val="24"/>
          <w:szCs w:val="24"/>
          <w:lang w:eastAsia="ru-RU"/>
        </w:rPr>
        <w:t>" - тормозной механизм, температура которого, измеренная на поверхности трения тормозного барабана или тормозного диска, составляет менее 100 °C;</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цветографическая схема</w:t>
      </w:r>
      <w:r w:rsidRPr="00197679">
        <w:rPr>
          <w:rFonts w:ascii="Arial" w:hAnsi="Arial" w:cs="Arial"/>
          <w:sz w:val="24"/>
          <w:szCs w:val="24"/>
          <w:lang w:eastAsia="ru-RU"/>
        </w:rPr>
        <w:t>"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цикл стеклоочистителя</w:t>
      </w:r>
      <w:r w:rsidRPr="00197679">
        <w:rPr>
          <w:rFonts w:ascii="Arial" w:hAnsi="Arial" w:cs="Arial"/>
          <w:sz w:val="24"/>
          <w:szCs w:val="24"/>
          <w:lang w:eastAsia="ru-RU"/>
        </w:rPr>
        <w:t>" - один прямой и обратный ход щетки стеклоочистителя;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шасси</w:t>
      </w:r>
      <w:r w:rsidRPr="00197679">
        <w:rPr>
          <w:rFonts w:ascii="Arial" w:hAnsi="Arial" w:cs="Arial"/>
          <w:sz w:val="24"/>
          <w:szCs w:val="24"/>
          <w:lang w:eastAsia="ru-RU"/>
        </w:rPr>
        <w:t>"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шип противоскольжения</w:t>
      </w:r>
      <w:r w:rsidRPr="00197679">
        <w:rPr>
          <w:rFonts w:ascii="Arial" w:hAnsi="Arial" w:cs="Arial"/>
          <w:sz w:val="24"/>
          <w:szCs w:val="24"/>
          <w:lang w:eastAsia="ru-RU"/>
        </w:rPr>
        <w:t>"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экологический класс</w:t>
      </w:r>
      <w:r w:rsidRPr="00197679">
        <w:rPr>
          <w:rFonts w:ascii="Arial" w:hAnsi="Arial" w:cs="Arial"/>
          <w:sz w:val="24"/>
          <w:szCs w:val="24"/>
          <w:lang w:eastAsia="ru-RU"/>
        </w:rPr>
        <w:t>"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эксплуатация</w:t>
      </w:r>
      <w:r w:rsidRPr="00197679">
        <w:rPr>
          <w:rFonts w:ascii="Arial" w:hAnsi="Arial" w:cs="Arial"/>
          <w:sz w:val="24"/>
          <w:szCs w:val="24"/>
          <w:lang w:eastAsia="ru-RU"/>
        </w:rPr>
        <w:t>"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энергопоглощающее устройство</w:t>
      </w:r>
      <w:r w:rsidRPr="00197679">
        <w:rPr>
          <w:rFonts w:ascii="Arial" w:hAnsi="Arial" w:cs="Arial"/>
          <w:sz w:val="24"/>
          <w:szCs w:val="24"/>
          <w:lang w:eastAsia="ru-RU"/>
        </w:rPr>
        <w:t>"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энергетическая установка гибридного транспортного средства</w:t>
      </w:r>
      <w:r w:rsidRPr="00197679">
        <w:rPr>
          <w:rFonts w:ascii="Arial" w:hAnsi="Arial" w:cs="Arial"/>
          <w:sz w:val="24"/>
          <w:szCs w:val="24"/>
          <w:lang w:eastAsia="ru-RU"/>
        </w:rPr>
        <w:t>"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электропреобразователей и системы управления;</w:t>
      </w:r>
    </w:p>
    <w:p w:rsidR="00485524"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r w:rsidRPr="00197679">
        <w:rPr>
          <w:rFonts w:ascii="Arial" w:hAnsi="Arial" w:cs="Arial"/>
          <w:b/>
          <w:bCs/>
          <w:sz w:val="24"/>
          <w:szCs w:val="24"/>
          <w:lang w:eastAsia="ru-RU"/>
        </w:rPr>
        <w:t>эффективность торможения</w:t>
      </w:r>
      <w:r w:rsidRPr="00197679">
        <w:rPr>
          <w:rFonts w:ascii="Arial" w:hAnsi="Arial" w:cs="Arial"/>
          <w:sz w:val="24"/>
          <w:szCs w:val="24"/>
          <w:lang w:eastAsia="ru-RU"/>
        </w:rPr>
        <w:t>"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485524" w:rsidRPr="00197679" w:rsidRDefault="00485524" w:rsidP="00197679">
      <w:pPr>
        <w:ind w:firstLine="720"/>
        <w:jc w:val="both"/>
        <w:rPr>
          <w:rFonts w:ascii="Arial" w:hAnsi="Arial" w:cs="Arial"/>
          <w:sz w:val="24"/>
          <w:szCs w:val="24"/>
          <w:lang w:eastAsia="ru-RU"/>
        </w:rPr>
      </w:pPr>
    </w:p>
    <w:p w:rsidR="00485524" w:rsidRPr="00197679" w:rsidRDefault="00485524" w:rsidP="00197679">
      <w:pPr>
        <w:jc w:val="center"/>
        <w:rPr>
          <w:rFonts w:ascii="Arial" w:hAnsi="Arial" w:cs="Arial"/>
          <w:sz w:val="24"/>
          <w:szCs w:val="24"/>
          <w:lang w:eastAsia="ru-RU"/>
        </w:rPr>
      </w:pPr>
      <w:bookmarkStart w:id="5" w:name="III._Правила_обращения_на_рынке_или_ввод"/>
      <w:bookmarkEnd w:id="5"/>
      <w:r w:rsidRPr="00197679">
        <w:rPr>
          <w:rFonts w:ascii="Arial" w:hAnsi="Arial" w:cs="Arial"/>
          <w:b/>
          <w:bCs/>
          <w:color w:val="002060"/>
          <w:sz w:val="24"/>
          <w:szCs w:val="24"/>
          <w:lang w:eastAsia="ru-RU"/>
        </w:rPr>
        <w:t>III. Правила обращения на рынке или ввода в эксплуатацию</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разделом VI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 Документами, удостоверяющими соответствие требованиям настоящего технического регламента при выпуске в обращение, являются: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для транспортных средств, оценка соответствия которых проводилась в форме одобрения типа, - одобрение типа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для шасси - одобрение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для единичных транспортных средств - свидетельство о безопасности конструкции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для компонентов транспортных средств - декларация о соответствии или сертификат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bookmarkStart w:id="6" w:name="IV._Требования_безопасности"/>
      <w:bookmarkEnd w:id="6"/>
      <w:r w:rsidRPr="00197679">
        <w:rPr>
          <w:rFonts w:ascii="Arial" w:hAnsi="Arial" w:cs="Arial"/>
          <w:b/>
          <w:bCs/>
          <w:color w:val="002060"/>
          <w:sz w:val="24"/>
          <w:szCs w:val="24"/>
          <w:lang w:eastAsia="ru-RU"/>
        </w:rPr>
        <w:t>IV. Требования безопасности</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13. Конструкция выпускаемых в обращение транспортных средств для перевозки опасных грузов или коммерческой перевозки пассажиров, а также транспортных средств оперативных служб должна предусматривать возможность установки (штатные места установки, крепления, энергопитания) аппаратуры спутниковой навигации ГЛОНАСС или ГЛОНАСС совместно с GPS.</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14. 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настоящего пункта не применяются в отношении транспортных средств, указанных в статье 2 Европейского соглашения, касающегося работы экипажей транспортных средств, производящих международные автомобильные перевозки (ЕСТР).</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Указанное требование применяется при проведении оценки соответствия в форме одобрения типа в отношении: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&lt;1&gt; За исключением требований, указанных в Приложении N 7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сообщений информационных экранов (дисплеев) аудио-, видео-, игровых и других мультимедийных систем;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аббревиатур;</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надписей, нанесенных на органы управления и конструктивные элементы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единиц измерения;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названий фирм, фирменных наименований транспортных средств, применяемых на них систем и компонентов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маркировок официальных утверждений типа, предусмотренных обязательными требованиями Правил ЕЭК ООН и Глобальных технических правил;</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сообщений и надписей, специально предназначенных для работников сервисных станций.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с:</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пунктами 11 - 15 и приложениями N 2 и 3 - в отношении типов выпускаемых в обращение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пунктами 11 - 15 и приложениями N 4 и 8 - в отношении выпускаемых в обращение единичных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приложением N 5 - в отношении габаритных и весовых ограничений выпускаемых в обращение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приложением N 6 - в отношении выпускаемых в обращение специальных и специализированных транспортных средств с учетом их функционального назначения;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пунктами 11 - 14 и приложением N 8 - в отношении находящихся в эксплуатации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приложением N 9 - в отношении находящихся в эксплуатации транспортных средств в случае внесения изменений в их конструкцию.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17. Транспортные средства категорий M и N и двигатели внутреннего сгорания для них подразделяются на экологические классы в соответствии с приложением N 1.</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приложением N 7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19. Запрещается выпуск в обращение транспортных средств с правосторонним расположением рулевого управления категорий M2 и M3.</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Перечень требований к типам компонентов транспортных средств установлен в приложении N 10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абзаца первого настоящего пункта в случае соответствия транспортного средства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bookmarkStart w:id="7" w:name="V._Оценка_соответствия"/>
      <w:bookmarkEnd w:id="7"/>
      <w:r w:rsidRPr="00197679">
        <w:rPr>
          <w:rFonts w:ascii="Arial" w:hAnsi="Arial" w:cs="Arial"/>
          <w:b/>
          <w:bCs/>
          <w:color w:val="002060"/>
          <w:sz w:val="24"/>
          <w:szCs w:val="24"/>
          <w:lang w:eastAsia="ru-RU"/>
        </w:rPr>
        <w:t>V. Оценка соответствия</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1. Проверка выполнения требований к типам выпускаемых</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в обращение транспортных средств (шасси)</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приложению N 11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Все представители изготовителя указываются в одобрении типа транспортного средства (одобрении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28. Одобрение типа проводится в следующем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приложению N 12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проведение анализа производства изготовителя в соответствии с пунктом 27;</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приложениями N 2, 3 и 6 к настоящему техническому регламенту, и выдача их заявителю;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подпунктов 3) - 5)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 оформление органом по сертификации одобрения типа транспортного средства (одобрение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30. Протоколы испытаний и измерений являются основой для оформления сертификатов соответствия в течение двух лет с момента оформления.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одобрение типа транспортного средства (одобрение типа шасси) вносятся номера указанных сертификатов, если иное не предусмотрено пунктами 35, 36 и 39.</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Испытания проводятся в соответствии с Правилами ЕЭК ООН, Глобальными техническими правилами,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окончании испытаний образцы возвращаются заявителю.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пунктами 35, 59 и 65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33. Орган по сертификации проводит анализ состояния производства согласно пункту 27 и приложению N 13.</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документы, подтверждающие соответствие производства требованиям Дополнения 2 к Соглашению 1958 года;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подготовленное заявителем описание условий производства, предусмотренное приложением N 13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 органа по сертификации о результатах ранее проведенных проверок условий производства.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Порядок и сроки проверки условий производства орган по сертификации согласует с заявителем.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xml:space="preserve">Проверка условий производства транспортных средств (шасси), изготовители которых не зарегистрированы в странах - участницах </w:t>
      </w:r>
      <w:hyperlink r:id="rId36"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hAnsi="Arial" w:cs="Arial"/>
            <w:color w:val="0000FF"/>
            <w:sz w:val="24"/>
            <w:szCs w:val="24"/>
            <w:lang w:eastAsia="ru-RU"/>
          </w:rPr>
          <w:t>Соглашения 1958 года</w:t>
        </w:r>
      </w:hyperlink>
      <w:r w:rsidRPr="00197679">
        <w:rPr>
          <w:rFonts w:ascii="Arial" w:hAnsi="Arial" w:cs="Arial"/>
          <w:sz w:val="24"/>
          <w:szCs w:val="24"/>
          <w:lang w:eastAsia="ru-RU"/>
        </w:rPr>
        <w:t>, проводится в обязательном порядке до оформления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Результаты анализа условий производства оформляются заключением.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xml:space="preserve">34. Изготовители продукции, зарегистрированные на территории государства, являющегося договаривающейся стороной </w:t>
      </w:r>
      <w:hyperlink r:id="rId37"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hAnsi="Arial" w:cs="Arial"/>
            <w:color w:val="0000FF"/>
            <w:sz w:val="24"/>
            <w:szCs w:val="24"/>
            <w:lang w:eastAsia="ru-RU"/>
          </w:rPr>
          <w:t>Соглашения 1958 года</w:t>
        </w:r>
      </w:hyperlink>
      <w:r w:rsidRPr="00197679">
        <w:rPr>
          <w:rFonts w:ascii="Arial" w:hAnsi="Arial" w:cs="Arial"/>
          <w:sz w:val="24"/>
          <w:szCs w:val="24"/>
          <w:lang w:eastAsia="ru-RU"/>
        </w:rPr>
        <w:t>,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пунктом 35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35. В отношении требований, предусмотренных приложением N 2 к настоящему техническому регламенту, а в случае специальных и специализированных транспортных средств - также предусмотренных приложением N 6, в качестве доказательственных материалов могут быть представлены декларации о соответствии, принятые изготовителем по схемам декларирования 3д, 4д, 6д или 7д (в отношении транспортных средств категорий M2 и M3 схема 7д не применяется). Описание схем декларирования приводится в приложении N 19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течение одного года после оформления одобрения типа транспортного средства (одобрения типа шасси) вместо указанных в абзаце первом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39. 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 В этом случае орган по сертификации использует выданные на базовые транспортные средства (шасси) действующие на момент их выпуска в обращение одобрения типа транспортного средства (одобрения типа шасси) как доказательственные материалы в части требований безопасности, выполнение которых обеспечивается изготовителем базового транспортного средства (шасси). При этом в отношении указанных требований для транспортных средств, изготавливаемых на базе или на шасси других транспортных средств, может применяться уровень требований, соответствие которому было подтверждено при оценке соответствия базового транспортного средства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41. Форма одобрения типа транспортного средства предусмотрена приложением N 14 к настоящему техническому регламенту. Форма одобрения типа шасси предусмотрена приложением N 15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пунктов 11 - 13, 23, 36, 38, 39 - 41, 69, 107, 109, 110 приложения N 2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42. Максимальный срок действия одобрения типа транспортного средства (одобрение типа шасси) 3 года, за исключением случаев, предусмотренных пунктами 35 и 36 настоящего технического регламента и абзацами вторым и четвертым настоящего пункта.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Срок действия сертификатов соответствия транспортного средства отдельным требованиям приложения 2 не превышает 4 лет, за исключением случаев, предусмотренных абзацем вторым настоящего пункта.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на основании пункта 39 настоящего технического регламента уровня требований ниже действующего, ограничивается одним годом с даты вступления в силу требований, соответствие которым не было подтверждено.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абзацем вторым настоящего пункта.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выявления нарушений одобрение типа транспортного средства (одобрение типа шасси) возвращается в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45. Орган по сертификации выдает заявителю одобрение типа транспортного средства (одобрение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47. Контроль может быть плановым и внеплановым.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49. Контроль осуществляется по утверждаемому органом по сертификации плану проверки, в том числе, при необходимости, у поставщиков.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51. В ходе контроля анализируются: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результаты государственного контроля (надзора) выпущенной в обращение продукции;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результаты проведения оценки соответствия продукции в случае внесения в ее конструкцию изменений, влияющих на параметры безопасности;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данные идентификации образцов продукции на соответствие утвержденным техническим описаниям;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объемы и результаты испытаний, проведенных для подтверждения соответствия продукции требованиям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результаты испытаний по подтверждению сохраняемости в процессе эксплуатации параметров, проверяемых при оценке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Испытаниям, как правило, подвергается модификация с ожидаемыми наихудшими результатами испытаний.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54. Результаты контроля оформляются актом.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Результаты контроля признаются положительными, если установлено, что:</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продукция соответствует типам, прошедшим процедуру оценки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Результаты контроля признаются отрицательными, если установлено, что:</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не проводились в требуемом объеме контрольные испытания.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необходимости проведения корректирующих мероприятий акт должен содержать соответствующие рекомендации.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в 10-дневный срок согласовывает указанную программу и контролирует ее выполнение.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приложением N 16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пунктом 42.</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конце регистрационного номера документа вводится код распространения, состоящий из буквы "Р" и порядкового номера распространения.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пунктами 59 и 60 настоящего технического регламента. Расходы по оформлению новой версии документа несет сторона, допустившая появление неточностей.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конце регистрационного номера документа вводится код исправления, состоящий из буквы "И" и порядкового номера исправления.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пунктами 59 - 60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сведения о проведенных корректирующих действиях по инициативе изготовителя и органа по сертификации или письмо об их отсутствии;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63. Орган по сертификации также рассматривает: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копии ранее выданных одобрений типа транспортного средства (одобрений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Продление срока действия одобрения типа транспортного средства и одобрения типа шасси осуществляется на срок, не превышающий трех лет.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485524"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485524" w:rsidRPr="00197679" w:rsidRDefault="00485524" w:rsidP="00197679">
      <w:pPr>
        <w:ind w:firstLine="720"/>
        <w:jc w:val="both"/>
        <w:rPr>
          <w:rFonts w:ascii="Arial" w:hAnsi="Arial" w:cs="Arial"/>
          <w:sz w:val="24"/>
          <w:szCs w:val="24"/>
          <w:lang w:eastAsia="ru-RU"/>
        </w:rPr>
      </w:pP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2. Проверка выполнения требований к единичным транспортным</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средствам перед их выпуском в обращение</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Проверке подвергаются только комплектные транспортные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70. Оценка соответствия единичного транспортного средства проводится в следующем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подача заявки и прилагаемых документов, предусмотренных приложением N 12 к настоящему техническому регламенту, в аккредитованную испытательную лабораторию;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принятие решения по заявке в течение трех рабочих дней;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идентификация единичного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проверка выполнения требований, предусмотренных пунктами 11 - 14 и приложениями N N 4 - 6, пунктом 4 приложения 7 посредством проведения технической экспертизы конструкции и, при необходимости, испытаниями;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подготовка протокола технической экспертизы конструкции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6) оформление свидетельства о безопасности конструкции транспортного средства и передача его заявителю.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Аккредитованная испытательная лаборатория согласует с заявителем сроки проведения оценки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качестве доказательственных материалов, подтверждающих соответствие единичного транспортного средства требованиям, предусмотренным приложениями N 4 - 6 к настоящему техническому регламенту, могут представляться протоколы испытаний, проведенных в аккредитованной испытательной лаборатории.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представлении заявителем сообщений об официальном утверждении типа транспортного средства, предусмотренных Правилами ЕЭК ООН N 10 - 12, 14, 16 - 18, 21, 26, 34, 39, 46, 48, 58, 73 и 107, техническая экспертиза по соответствующим разделам приложения N 4 к настоящему техническому регламенту не проводится.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приложением N 17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3. Проверка выполнения требований к транспортным средствам,</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находящимся в эксплуатации</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74. К находящимся в эксплуатации транспортным средствам не применяются требования настоящего технического регламента к наличию подлежащих проверке элементов конструкции, которые не были предусмотрены на транспортном средстве на момент его выпуска в обращение.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4. Проверка выполнения требований</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к транспортным средствам, находящимся в эксплуатации,</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в случае внесения изменений в их конструкцию</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пункте 77.</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77. Транспортные средства не подлежат проверке в следующих случаях: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при установке на транспортное средство компонентов: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предусмотренных изготовителем транспортного средства в эксплуатационной документации;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приложением N 18 к техническому регламенту, или отказывает в его выдаче с указанием причин.</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5. Проверка выполнения требований к типам компонентов</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транспортных средств перед их выпуском в обращение</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пунктом 20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Подтверждение соответствия не проводится в отношении: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ЕЭК ООН);</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компонентов, бывших в употреблении;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восстановленных компонентов, за исключением шин с восстановленным протектором.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Подтверждение соответствия осуществляется в формах декларирования соответствия или обязательной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Подтверждение соответствия проводится по Правилам ЕЭК ООН, Глобальным техническим правилам, а в случае их отсутствия - по стандартам, включенным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Разрешенные формы и схемы подтверждения соответствия в зависимости от типов компонентов предусмотрены приложением N 10. Описание схем подтверждения соответствия и рекомендации по их выбору предусмотрены приложением N 19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82.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компонентов, изготовленных за пределами единой таможенной территории Таможенного союза, заявителем может являться импортер или компания, организованная за пределами государств - членов Таможенного союза как оптовый склад для продажи компонентов. Закупки оптового склада непосредственно у изготовителей компонентов должны быть подтверждены документально. Предоставления полномочий от изготовителя импортеру или оптовому складу не требуется.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(приложение N 10 к настоящему техническому регламенту) или более сложную, по сравнению с предусмотренными, по согласованию с органом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случае если и заявитель, и изготовитель - физические или юридические лица, которые не являются резидентами одного из государств - члена Таможенного союза, они не вправе осуществлять декларирование соответствия, но имеют право подать заявку на проведение обязательной сертификации сменных (запасных) частей. Орган по сертификации принимает решение о проведении обязательной сертификации по конкретной схеме сертификации из числа предусмотренных для конкретных компонентов (приложение N 10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Собственные доказательства формируются заявителем в виде комплекта технической документации. В комплект могут входить: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руководство или инструкция по эксплуатации;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перечень Правил ЕЭК ООН, Глобальных технических правил, стандартов, которые применялись для проверки соответствия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ранее полученные сертификаты соответствия продукции международным и (или) национальным требованиям.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Регистрация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86. Подтверждение соответствия компонентов в форме обязательной сертификации, предусмотренной приложением N 19 к настоящему техническому регламенту, может включать в себя в зависимости от схемы:</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идентификацию образца (образцов) компонентов;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оформление сертификата соответствия и передачу его заявителю;</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5) контроль органа по сертификации за сертифицированными типами компонентов, если он предусмотрен схемой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87. Состав документов, представляемых заявителем в орган по сертификации в целях подтверждения соответствия, предусмотрен приложением N 12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89. По итогам рассмотрения представленных заявителем документов орган по сертификации направляет заявителю решение, в котором отражается: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достаточность представленных документов для подтверждения соответствия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применяемая схема и необходимые условия проведения подтверждения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3) возможность признания представленных заявителем доказательственных материалов;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4) необходимость проведения испытаний с целью получения недостающих доказательственных материалов.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ЕЭК ООН, Глобальными техническими правилами,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Документация, имеющая отношение к проведению испытаний, хранится в архиве аккредитованной испытательной лаборатории не менее 5 лет.</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92. В случае если это предусматривается схемой сертификации, орган по сертификации проводит анализ состояния производства в соответствии с пунктом 27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Перечень основных вопросов, изучаемых в ходе анализа состояния производства, и порядок проверки условий производства предусмотрены приложением N 13 к настоящему техническому регламенту.</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документ о проверке условий производства, ранее проведенной органом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Результаты анализа состояния производства оформляются заключением.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обеспечивает регистрацию результатов проверок или испытаний и доступность для органа по сертификации соответствующих документов;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пунктами 47 - 54, 56 и 57.</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97. Изготовитель транспортного средства (шасси) либо официальный представитель изготовителя, отвечающий требованиям, предусмотренным пунктом 26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одобрения типа транспортного средства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одобрения типа транспортного средства (шасси) при следующих условиях: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 либо доказательственные материалы, удостоверяющие, что компоненты, поставляемые в качестве запасных частей, идентичны компонентам, которые поставляются или поставлялись для сборки соответствующих транспортных средств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Решение о применимости доказательственных материалов, представленных в целях одобрения типа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ЕЭК ООН, Глобальные технические правила,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bookmarkStart w:id="8" w:name="VI._Маркировка_единым_знаком_обращения_п"/>
      <w:bookmarkEnd w:id="8"/>
      <w:r w:rsidRPr="00197679">
        <w:rPr>
          <w:rFonts w:ascii="Arial" w:hAnsi="Arial" w:cs="Arial"/>
          <w:b/>
          <w:bCs/>
          <w:color w:val="002060"/>
          <w:sz w:val="24"/>
          <w:szCs w:val="24"/>
          <w:lang w:eastAsia="ru-RU"/>
        </w:rPr>
        <w:t>VI. Маркировка единым знаком обращения продукции на рынке</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99. Графическое изображение единого знака обращения продукции на рынке устанавливается Решением Комиссии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xml:space="preserve">101. При маркировании транспортных средств (шасси) </w:t>
      </w:r>
      <w:hyperlink r:id="rId38" w:tooltip="Решение Комиссии Таможенного союза от 15 июля 2011 г. N 711 О едином знаке обращения продукции на рынке государств - членов Таможенного союза" w:history="1">
        <w:r w:rsidRPr="00197679">
          <w:rPr>
            <w:rFonts w:ascii="Arial" w:hAnsi="Arial" w:cs="Arial"/>
            <w:color w:val="0000FF"/>
            <w:sz w:val="24"/>
            <w:szCs w:val="24"/>
            <w:lang w:eastAsia="ru-RU"/>
          </w:rPr>
          <w:t>единый знак</w:t>
        </w:r>
      </w:hyperlink>
      <w:r w:rsidRPr="00197679">
        <w:rPr>
          <w:rFonts w:ascii="Arial" w:hAnsi="Arial" w:cs="Arial"/>
          <w:sz w:val="24"/>
          <w:szCs w:val="24"/>
          <w:lang w:eastAsia="ru-RU"/>
        </w:rPr>
        <w:t xml:space="preserve">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xml:space="preserve">102. При маркировании компонентов </w:t>
      </w:r>
      <w:hyperlink r:id="rId39" w:tooltip="Решение Комиссии Таможенного союза от 15 июля 2011 г. N 711 О едином знаке обращения продукции на рынке государств - членов Таможенного союза" w:history="1">
        <w:r w:rsidRPr="00197679">
          <w:rPr>
            <w:rFonts w:ascii="Arial" w:hAnsi="Arial" w:cs="Arial"/>
            <w:color w:val="0000FF"/>
            <w:sz w:val="24"/>
            <w:szCs w:val="24"/>
            <w:lang w:eastAsia="ru-RU"/>
          </w:rPr>
          <w:t>единый знак</w:t>
        </w:r>
      </w:hyperlink>
      <w:r w:rsidRPr="00197679">
        <w:rPr>
          <w:rFonts w:ascii="Arial" w:hAnsi="Arial" w:cs="Arial"/>
          <w:sz w:val="24"/>
          <w:szCs w:val="24"/>
          <w:lang w:eastAsia="ru-RU"/>
        </w:rPr>
        <w:t xml:space="preserve">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w:t>
      </w:r>
      <w:hyperlink r:id="rId40" w:tooltip="Решение Комиссии Таможенного союза от 15 июля 2011 г. N 711 О едином знаке обращения продукции на рынке государств - членов Таможенного союза" w:history="1">
        <w:r w:rsidRPr="00197679">
          <w:rPr>
            <w:rFonts w:ascii="Arial" w:hAnsi="Arial" w:cs="Arial"/>
            <w:color w:val="0000FF"/>
            <w:sz w:val="24"/>
            <w:szCs w:val="24"/>
            <w:lang w:eastAsia="ru-RU"/>
          </w:rPr>
          <w:t>Единый знак</w:t>
        </w:r>
      </w:hyperlink>
      <w:r w:rsidRPr="00197679">
        <w:rPr>
          <w:rFonts w:ascii="Arial" w:hAnsi="Arial" w:cs="Arial"/>
          <w:sz w:val="24"/>
          <w:szCs w:val="24"/>
          <w:lang w:eastAsia="ru-RU"/>
        </w:rPr>
        <w:t xml:space="preserve">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(рис. 1)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Рис. 1. Образец маркировки (не приводится)</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ЕЭК ООН или Директивам ЕС. Номер официального утверждения указывается в соответствии с требованиями Правил ЕЭК ООН и Директив ЕС.</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197679" w:rsidRDefault="00485524" w:rsidP="00197679">
      <w:pPr>
        <w:jc w:val="center"/>
        <w:rPr>
          <w:rFonts w:ascii="Arial" w:hAnsi="Arial" w:cs="Arial"/>
          <w:sz w:val="24"/>
          <w:szCs w:val="24"/>
          <w:lang w:eastAsia="ru-RU"/>
        </w:rPr>
      </w:pPr>
      <w:bookmarkStart w:id="9" w:name="VII._Защитительная_оговорка"/>
      <w:bookmarkEnd w:id="9"/>
      <w:r w:rsidRPr="00197679">
        <w:rPr>
          <w:rFonts w:ascii="Arial" w:hAnsi="Arial" w:cs="Arial"/>
          <w:b/>
          <w:bCs/>
          <w:color w:val="002060"/>
          <w:sz w:val="24"/>
          <w:szCs w:val="24"/>
          <w:lang w:eastAsia="ru-RU"/>
        </w:rPr>
        <w:t>VII. Защитительная оговорка</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Указанные в абзаце первом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разделом V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изготовителя продукции;</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заявителя (если заявителем был официальный представитель изготовителя);</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орган по сертификации, оформивший документы, удостоверяющие соответствие требованиям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По получении уведомлений указанные лица осуществляют действия в соответствии с пунктами 55 и 56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485524"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485524" w:rsidRPr="00197679" w:rsidRDefault="00485524" w:rsidP="00197679">
      <w:pPr>
        <w:ind w:firstLine="720"/>
        <w:jc w:val="both"/>
        <w:rPr>
          <w:rFonts w:ascii="Arial" w:hAnsi="Arial" w:cs="Arial"/>
          <w:sz w:val="24"/>
          <w:szCs w:val="24"/>
          <w:lang w:eastAsia="ru-RU"/>
        </w:rPr>
      </w:pPr>
    </w:p>
    <w:p w:rsidR="00485524" w:rsidRPr="00197679" w:rsidRDefault="00485524" w:rsidP="00197679">
      <w:pPr>
        <w:jc w:val="center"/>
        <w:rPr>
          <w:rFonts w:ascii="Arial" w:hAnsi="Arial" w:cs="Arial"/>
          <w:sz w:val="24"/>
          <w:szCs w:val="24"/>
          <w:lang w:eastAsia="ru-RU"/>
        </w:rPr>
      </w:pPr>
      <w:bookmarkStart w:id="10" w:name="VIII._Заключительные_положения"/>
      <w:bookmarkEnd w:id="10"/>
      <w:r w:rsidRPr="00197679">
        <w:rPr>
          <w:rFonts w:ascii="Arial" w:hAnsi="Arial" w:cs="Arial"/>
          <w:b/>
          <w:bCs/>
          <w:color w:val="002060"/>
          <w:sz w:val="24"/>
          <w:szCs w:val="24"/>
          <w:lang w:eastAsia="ru-RU"/>
        </w:rPr>
        <w:t>VIII. Заключительные положения</w:t>
      </w:r>
    </w:p>
    <w:p w:rsidR="00485524" w:rsidRPr="00197679" w:rsidRDefault="00485524" w:rsidP="00197679">
      <w:pPr>
        <w:jc w:val="center"/>
        <w:rPr>
          <w:rFonts w:ascii="Arial" w:hAnsi="Arial" w:cs="Arial"/>
          <w:sz w:val="24"/>
          <w:szCs w:val="24"/>
          <w:lang w:eastAsia="ru-RU"/>
        </w:rPr>
      </w:pPr>
      <w:r w:rsidRPr="00197679">
        <w:rPr>
          <w:rFonts w:ascii="Arial" w:hAnsi="Arial" w:cs="Arial"/>
          <w:b/>
          <w:bCs/>
          <w:color w:val="002060"/>
          <w:sz w:val="24"/>
          <w:szCs w:val="24"/>
          <w:lang w:eastAsia="ru-RU"/>
        </w:rPr>
        <w:t> </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110. Настоящий технический регламент вводится в действие одновременно во всех государствах - членах Таможенного союза.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приложением N 8.</w:t>
      </w:r>
    </w:p>
    <w:p w:rsidR="00485524" w:rsidRPr="00197679" w:rsidRDefault="00485524" w:rsidP="00197679">
      <w:pPr>
        <w:ind w:firstLine="720"/>
        <w:jc w:val="both"/>
        <w:rPr>
          <w:rFonts w:ascii="Arial" w:hAnsi="Arial" w:cs="Arial"/>
          <w:sz w:val="24"/>
          <w:szCs w:val="24"/>
          <w:lang w:eastAsia="ru-RU"/>
        </w:rPr>
      </w:pPr>
      <w:r w:rsidRPr="00197679">
        <w:rPr>
          <w:rFonts w:ascii="Arial" w:hAnsi="Arial" w:cs="Arial"/>
          <w:sz w:val="24"/>
          <w:szCs w:val="24"/>
          <w:lang w:eastAsia="ru-RU"/>
        </w:rPr>
        <w:t> </w:t>
      </w:r>
    </w:p>
    <w:p w:rsidR="00485524" w:rsidRPr="00B04716" w:rsidRDefault="00485524" w:rsidP="00197679">
      <w:pPr>
        <w:ind w:firstLine="720"/>
        <w:jc w:val="both"/>
        <w:rPr>
          <w:rFonts w:ascii="Times New Roman" w:hAnsi="Times New Roman"/>
          <w:sz w:val="28"/>
          <w:szCs w:val="28"/>
          <w:lang w:eastAsia="ru-RU"/>
        </w:rPr>
      </w:pPr>
      <w:r w:rsidRPr="00B04716">
        <w:rPr>
          <w:rFonts w:ascii="Times New Roman" w:hAnsi="Times New Roman"/>
          <w:sz w:val="28"/>
          <w:szCs w:val="28"/>
          <w:lang w:val="en-US" w:eastAsia="ru-RU"/>
        </w:rPr>
        <w:t> </w:t>
      </w:r>
    </w:p>
    <w:p w:rsidR="00485524" w:rsidRPr="00B04716" w:rsidRDefault="00485524" w:rsidP="00197679">
      <w:pPr>
        <w:rPr>
          <w:rFonts w:ascii="Times New Roman" w:hAnsi="Times New Roman"/>
          <w:sz w:val="28"/>
          <w:szCs w:val="28"/>
        </w:rPr>
      </w:pPr>
      <w:r w:rsidRPr="00B04716">
        <w:rPr>
          <w:rFonts w:ascii="Times New Roman" w:hAnsi="Times New Roman"/>
          <w:sz w:val="28"/>
          <w:szCs w:val="28"/>
        </w:rPr>
        <w:t>Текст технического регламента вместе с приложениями на сайте ЕЭК: http://www.tsouz.ru/db/techreglam/Documents/TR%20TS%20KolesnTrS.pdf</w:t>
      </w:r>
    </w:p>
    <w:sectPr w:rsidR="00485524" w:rsidRPr="00B04716" w:rsidSect="00A8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679"/>
    <w:rsid w:val="00123C73"/>
    <w:rsid w:val="00197679"/>
    <w:rsid w:val="001E370B"/>
    <w:rsid w:val="0047606F"/>
    <w:rsid w:val="00485524"/>
    <w:rsid w:val="006174CA"/>
    <w:rsid w:val="00731815"/>
    <w:rsid w:val="00950D60"/>
    <w:rsid w:val="00A86E1C"/>
    <w:rsid w:val="00B04716"/>
    <w:rsid w:val="00DE39EA"/>
    <w:rsid w:val="00E86948"/>
    <w:rsid w:val="00EE2FE5"/>
    <w:rsid w:val="00EE6C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1C"/>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976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4106572">
      <w:marLeft w:val="0"/>
      <w:marRight w:val="0"/>
      <w:marTop w:val="0"/>
      <w:marBottom w:val="0"/>
      <w:divBdr>
        <w:top w:val="none" w:sz="0" w:space="0" w:color="auto"/>
        <w:left w:val="none" w:sz="0" w:space="0" w:color="auto"/>
        <w:bottom w:val="none" w:sz="0" w:space="0" w:color="auto"/>
        <w:right w:val="none" w:sz="0" w:space="0" w:color="auto"/>
      </w:divBdr>
      <w:divsChild>
        <w:div w:id="494106569">
          <w:marLeft w:val="0"/>
          <w:marRight w:val="0"/>
          <w:marTop w:val="0"/>
          <w:marBottom w:val="0"/>
          <w:divBdr>
            <w:top w:val="none" w:sz="0" w:space="0" w:color="auto"/>
            <w:left w:val="none" w:sz="0" w:space="0" w:color="auto"/>
            <w:bottom w:val="none" w:sz="0" w:space="0" w:color="auto"/>
            <w:right w:val="none" w:sz="0" w:space="0" w:color="auto"/>
          </w:divBdr>
        </w:div>
      </w:divsChild>
    </w:div>
    <w:div w:id="494106573">
      <w:marLeft w:val="0"/>
      <w:marRight w:val="0"/>
      <w:marTop w:val="0"/>
      <w:marBottom w:val="0"/>
      <w:divBdr>
        <w:top w:val="none" w:sz="0" w:space="0" w:color="auto"/>
        <w:left w:val="none" w:sz="0" w:space="0" w:color="auto"/>
        <w:bottom w:val="none" w:sz="0" w:space="0" w:color="auto"/>
        <w:right w:val="none" w:sz="0" w:space="0" w:color="auto"/>
      </w:divBdr>
      <w:divsChild>
        <w:div w:id="494106577">
          <w:marLeft w:val="0"/>
          <w:marRight w:val="0"/>
          <w:marTop w:val="0"/>
          <w:marBottom w:val="0"/>
          <w:divBdr>
            <w:top w:val="none" w:sz="0" w:space="0" w:color="auto"/>
            <w:left w:val="none" w:sz="0" w:space="0" w:color="auto"/>
            <w:bottom w:val="none" w:sz="0" w:space="0" w:color="auto"/>
            <w:right w:val="none" w:sz="0" w:space="0" w:color="auto"/>
          </w:divBdr>
        </w:div>
      </w:divsChild>
    </w:div>
    <w:div w:id="494106575">
      <w:marLeft w:val="0"/>
      <w:marRight w:val="0"/>
      <w:marTop w:val="0"/>
      <w:marBottom w:val="0"/>
      <w:divBdr>
        <w:top w:val="none" w:sz="0" w:space="0" w:color="auto"/>
        <w:left w:val="none" w:sz="0" w:space="0" w:color="auto"/>
        <w:bottom w:val="none" w:sz="0" w:space="0" w:color="auto"/>
        <w:right w:val="none" w:sz="0" w:space="0" w:color="auto"/>
      </w:divBdr>
      <w:divsChild>
        <w:div w:id="494106574">
          <w:marLeft w:val="0"/>
          <w:marRight w:val="0"/>
          <w:marTop w:val="0"/>
          <w:marBottom w:val="0"/>
          <w:divBdr>
            <w:top w:val="none" w:sz="0" w:space="0" w:color="auto"/>
            <w:left w:val="none" w:sz="0" w:space="0" w:color="auto"/>
            <w:bottom w:val="none" w:sz="0" w:space="0" w:color="auto"/>
            <w:right w:val="none" w:sz="0" w:space="0" w:color="auto"/>
          </w:divBdr>
        </w:div>
      </w:divsChild>
    </w:div>
    <w:div w:id="494106576">
      <w:marLeft w:val="0"/>
      <w:marRight w:val="0"/>
      <w:marTop w:val="0"/>
      <w:marBottom w:val="0"/>
      <w:divBdr>
        <w:top w:val="none" w:sz="0" w:space="0" w:color="auto"/>
        <w:left w:val="none" w:sz="0" w:space="0" w:color="auto"/>
        <w:bottom w:val="none" w:sz="0" w:space="0" w:color="auto"/>
        <w:right w:val="none" w:sz="0" w:space="0" w:color="auto"/>
      </w:divBdr>
      <w:divsChild>
        <w:div w:id="494106570">
          <w:marLeft w:val="0"/>
          <w:marRight w:val="0"/>
          <w:marTop w:val="0"/>
          <w:marBottom w:val="0"/>
          <w:divBdr>
            <w:top w:val="none" w:sz="0" w:space="0" w:color="auto"/>
            <w:left w:val="none" w:sz="0" w:space="0" w:color="auto"/>
            <w:bottom w:val="none" w:sz="0" w:space="0" w:color="auto"/>
            <w:right w:val="none" w:sz="0" w:space="0" w:color="auto"/>
          </w:divBdr>
        </w:div>
      </w:divsChild>
    </w:div>
    <w:div w:id="494106578">
      <w:marLeft w:val="0"/>
      <w:marRight w:val="0"/>
      <w:marTop w:val="0"/>
      <w:marBottom w:val="0"/>
      <w:divBdr>
        <w:top w:val="none" w:sz="0" w:space="0" w:color="auto"/>
        <w:left w:val="none" w:sz="0" w:space="0" w:color="auto"/>
        <w:bottom w:val="none" w:sz="0" w:space="0" w:color="auto"/>
        <w:right w:val="none" w:sz="0" w:space="0" w:color="auto"/>
      </w:divBdr>
      <w:divsChild>
        <w:div w:id="494106580">
          <w:marLeft w:val="0"/>
          <w:marRight w:val="0"/>
          <w:marTop w:val="0"/>
          <w:marBottom w:val="0"/>
          <w:divBdr>
            <w:top w:val="none" w:sz="0" w:space="0" w:color="auto"/>
            <w:left w:val="none" w:sz="0" w:space="0" w:color="auto"/>
            <w:bottom w:val="none" w:sz="0" w:space="0" w:color="auto"/>
            <w:right w:val="none" w:sz="0" w:space="0" w:color="auto"/>
          </w:divBdr>
        </w:div>
      </w:divsChild>
    </w:div>
    <w:div w:id="494106579">
      <w:marLeft w:val="0"/>
      <w:marRight w:val="0"/>
      <w:marTop w:val="0"/>
      <w:marBottom w:val="0"/>
      <w:divBdr>
        <w:top w:val="none" w:sz="0" w:space="0" w:color="auto"/>
        <w:left w:val="none" w:sz="0" w:space="0" w:color="auto"/>
        <w:bottom w:val="none" w:sz="0" w:space="0" w:color="auto"/>
        <w:right w:val="none" w:sz="0" w:space="0" w:color="auto"/>
      </w:divBdr>
      <w:divsChild>
        <w:div w:id="49410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pl.ru/gost2/trts018-2011.htm" TargetMode="External"/><Relationship Id="rId13" Type="http://schemas.openxmlformats.org/officeDocument/2006/relationships/hyperlink" Target="http://www.6pl.ru/gost2/trts018-2011.htm" TargetMode="External"/><Relationship Id="rId18" Type="http://schemas.openxmlformats.org/officeDocument/2006/relationships/hyperlink" Target="http://www.6pl.ru/gost2/trts018-2011-1.htm" TargetMode="External"/><Relationship Id="rId26" Type="http://schemas.openxmlformats.org/officeDocument/2006/relationships/hyperlink" Target="http://www.6pl.ru/gost2/trts018-2011-2.htm" TargetMode="External"/><Relationship Id="rId39" Type="http://schemas.openxmlformats.org/officeDocument/2006/relationships/hyperlink" Target="http://www.6pl.ru/gost2/rkts711.htm" TargetMode="External"/><Relationship Id="rId3" Type="http://schemas.openxmlformats.org/officeDocument/2006/relationships/webSettings" Target="webSettings.xml"/><Relationship Id="rId21" Type="http://schemas.openxmlformats.org/officeDocument/2006/relationships/hyperlink" Target="http://www.6pl.ru/gost2/trts018-2011-2.htm" TargetMode="External"/><Relationship Id="rId34" Type="http://schemas.openxmlformats.org/officeDocument/2006/relationships/hyperlink" Target="http://www.6pl.ru/asmap/convETP58.htm" TargetMode="External"/><Relationship Id="rId42" Type="http://schemas.openxmlformats.org/officeDocument/2006/relationships/theme" Target="theme/theme1.xml"/><Relationship Id="rId7" Type="http://schemas.openxmlformats.org/officeDocument/2006/relationships/hyperlink" Target="http://www.6pl.ru/gost2/trts018-2011.htm" TargetMode="External"/><Relationship Id="rId12" Type="http://schemas.openxmlformats.org/officeDocument/2006/relationships/hyperlink" Target="http://www.6pl.ru/gost2/trts018-2011.htm" TargetMode="External"/><Relationship Id="rId17" Type="http://schemas.openxmlformats.org/officeDocument/2006/relationships/hyperlink" Target="http://www.6pl.ru/gost2/trts018-2011-1.htm" TargetMode="External"/><Relationship Id="rId25" Type="http://schemas.openxmlformats.org/officeDocument/2006/relationships/hyperlink" Target="http://www.6pl.ru/gost2/trts018-2011-2.htm" TargetMode="External"/><Relationship Id="rId33" Type="http://schemas.openxmlformats.org/officeDocument/2006/relationships/hyperlink" Target="http://www.6pl.ru/gost2/trts018-2011-3.htm" TargetMode="External"/><Relationship Id="rId38" Type="http://schemas.openxmlformats.org/officeDocument/2006/relationships/hyperlink" Target="http://www.6pl.ru/gost2/rkts711.htm" TargetMode="External"/><Relationship Id="rId2" Type="http://schemas.openxmlformats.org/officeDocument/2006/relationships/settings" Target="settings.xml"/><Relationship Id="rId16" Type="http://schemas.openxmlformats.org/officeDocument/2006/relationships/hyperlink" Target="http://www.6pl.ru/gost2/trts018-2011-1.htm" TargetMode="External"/><Relationship Id="rId20" Type="http://schemas.openxmlformats.org/officeDocument/2006/relationships/hyperlink" Target="http://www.6pl.ru/gost2/trts018-2011-1.htm" TargetMode="External"/><Relationship Id="rId29" Type="http://schemas.openxmlformats.org/officeDocument/2006/relationships/hyperlink" Target="http://www.6pl.ru/gost2/trts018-2011-3.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6pl.ru/gost2/trts018-2011.htm" TargetMode="External"/><Relationship Id="rId11" Type="http://schemas.openxmlformats.org/officeDocument/2006/relationships/hyperlink" Target="http://www.6pl.ru/gost2/trts018-2011.htm" TargetMode="External"/><Relationship Id="rId24" Type="http://schemas.openxmlformats.org/officeDocument/2006/relationships/hyperlink" Target="http://www.6pl.ru/gost2/trts018-2011-2.htm" TargetMode="External"/><Relationship Id="rId32" Type="http://schemas.openxmlformats.org/officeDocument/2006/relationships/hyperlink" Target="http://www.6pl.ru/gost2/trts018-2011-3.htm" TargetMode="External"/><Relationship Id="rId37" Type="http://schemas.openxmlformats.org/officeDocument/2006/relationships/hyperlink" Target="http://www.6pl.ru/asmap/convETP58.htm" TargetMode="External"/><Relationship Id="rId40" Type="http://schemas.openxmlformats.org/officeDocument/2006/relationships/hyperlink" Target="http://www.6pl.ru/gost2/rkts711.htm" TargetMode="External"/><Relationship Id="rId5" Type="http://schemas.openxmlformats.org/officeDocument/2006/relationships/hyperlink" Target="http://www.6pl.ru/gost2/trts018-2011.htm" TargetMode="External"/><Relationship Id="rId15" Type="http://schemas.openxmlformats.org/officeDocument/2006/relationships/hyperlink" Target="http://www.6pl.ru/gost2/trts018-2011-1.htm" TargetMode="External"/><Relationship Id="rId23" Type="http://schemas.openxmlformats.org/officeDocument/2006/relationships/hyperlink" Target="http://www.6pl.ru/gost2/trts018-2011-2.htm" TargetMode="External"/><Relationship Id="rId28" Type="http://schemas.openxmlformats.org/officeDocument/2006/relationships/hyperlink" Target="http://www.6pl.ru/gost2/trts018-2011-3.htm" TargetMode="External"/><Relationship Id="rId36" Type="http://schemas.openxmlformats.org/officeDocument/2006/relationships/hyperlink" Target="http://www.6pl.ru/asmap/convETP58.htm" TargetMode="External"/><Relationship Id="rId10" Type="http://schemas.openxmlformats.org/officeDocument/2006/relationships/hyperlink" Target="http://www.6pl.ru/gost2/trts018-2011.htm" TargetMode="External"/><Relationship Id="rId19" Type="http://schemas.openxmlformats.org/officeDocument/2006/relationships/hyperlink" Target="http://www.6pl.ru/gost2/trts018-2011-1.htm" TargetMode="External"/><Relationship Id="rId31" Type="http://schemas.openxmlformats.org/officeDocument/2006/relationships/hyperlink" Target="http://www.6pl.ru/gost2/trts018-2011-3.htm" TargetMode="External"/><Relationship Id="rId4" Type="http://schemas.openxmlformats.org/officeDocument/2006/relationships/hyperlink" Target="http://www.6pl.ru/gost2/trts018-2011.htm" TargetMode="External"/><Relationship Id="rId9" Type="http://schemas.openxmlformats.org/officeDocument/2006/relationships/hyperlink" Target="http://www.6pl.ru/gost2/trts018-2011.htm" TargetMode="External"/><Relationship Id="rId14" Type="http://schemas.openxmlformats.org/officeDocument/2006/relationships/hyperlink" Target="http://www.6pl.ru/gost2/trts018-2011.htm" TargetMode="External"/><Relationship Id="rId22" Type="http://schemas.openxmlformats.org/officeDocument/2006/relationships/hyperlink" Target="http://www.6pl.ru/gost2/trts018-2011-2.htm" TargetMode="External"/><Relationship Id="rId27" Type="http://schemas.openxmlformats.org/officeDocument/2006/relationships/hyperlink" Target="http://www.6pl.ru/gost2/trts018-2011-3.htm" TargetMode="External"/><Relationship Id="rId30" Type="http://schemas.openxmlformats.org/officeDocument/2006/relationships/hyperlink" Target="http://www.6pl.ru/gost2/trts018-2011-3.htm" TargetMode="External"/><Relationship Id="rId35" Type="http://schemas.openxmlformats.org/officeDocument/2006/relationships/hyperlink" Target="http://www.6pl.ru/asmap/convETP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20999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 ТС 018/2011 О безопасности колесных транспортных средств</dc:title>
  <dc:subject/>
  <dc:creator>Александр</dc:creator>
  <cp:keywords/>
  <dc:description/>
  <cp:lastModifiedBy>Игорь</cp:lastModifiedBy>
  <cp:revision>3</cp:revision>
  <dcterms:created xsi:type="dcterms:W3CDTF">2016-09-12T10:36:00Z</dcterms:created>
  <dcterms:modified xsi:type="dcterms:W3CDTF">2016-09-12T10:38:00Z</dcterms:modified>
</cp:coreProperties>
</file>